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jc w:val="center"/>
        <w:outlineLvl w:val="0"/>
        <w:rPr>
          <w:b/>
          <w:bCs/>
          <w:smallCaps/>
          <w:sz w:val="22"/>
          <w:szCs w:val="22"/>
        </w:rPr>
      </w:pPr>
      <w:r>
        <w:rPr>
          <w:b/>
          <w:bCs/>
          <w:smallCaps/>
          <w:sz w:val="22"/>
          <w:szCs w:val="22"/>
        </w:rPr>
      </w:r>
    </w:p>
    <w:p>
      <w:pPr>
        <w:pStyle w:val="Normal"/>
        <w:numPr>
          <w:ilvl w:val="0"/>
          <w:numId w:val="0"/>
        </w:numPr>
        <w:jc w:val="center"/>
        <w:outlineLvl w:val="0"/>
        <w:rPr>
          <w:b/>
          <w:bCs/>
          <w:smallCaps/>
          <w:sz w:val="22"/>
          <w:szCs w:val="22"/>
        </w:rPr>
      </w:pPr>
      <w:r>
        <w:rPr>
          <w:b/>
          <w:bCs/>
          <w:smallCaps/>
          <w:sz w:val="22"/>
          <w:szCs w:val="22"/>
        </w:rPr>
        <w:t>BÉRLETI SZERZŐDÉS</w:t>
      </w:r>
    </w:p>
    <w:p>
      <w:pPr>
        <w:pStyle w:val="Normal"/>
        <w:numPr>
          <w:ilvl w:val="0"/>
          <w:numId w:val="0"/>
        </w:numPr>
        <w:jc w:val="center"/>
        <w:outlineLvl w:val="0"/>
        <w:rPr>
          <w:b/>
          <w:bCs/>
          <w:smallCaps/>
          <w:sz w:val="22"/>
          <w:szCs w:val="22"/>
        </w:rPr>
      </w:pPr>
      <w:r>
        <w:rPr>
          <w:b/>
          <w:bCs/>
          <w:smallCaps/>
          <w:sz w:val="22"/>
          <w:szCs w:val="22"/>
        </w:rPr>
        <w:t xml:space="preserve">iskolai büfé üzemeltetésére </w:t>
      </w:r>
    </w:p>
    <w:p>
      <w:pPr>
        <w:pStyle w:val="Normal"/>
        <w:jc w:val="both"/>
        <w:rPr>
          <w:color w:val="000000"/>
          <w:sz w:val="22"/>
          <w:szCs w:val="22"/>
        </w:rPr>
      </w:pPr>
      <w:r>
        <w:rPr>
          <w:color w:val="000000"/>
          <w:sz w:val="22"/>
          <w:szCs w:val="22"/>
        </w:rPr>
      </w:r>
    </w:p>
    <w:p>
      <w:pPr>
        <w:pStyle w:val="Normal"/>
        <w:rPr>
          <w:sz w:val="22"/>
          <w:szCs w:val="22"/>
        </w:rPr>
      </w:pPr>
      <w:r>
        <w:rPr>
          <w:sz w:val="22"/>
          <w:szCs w:val="22"/>
        </w:rPr>
        <w:t xml:space="preserve">amely létrejött egyrészről az </w:t>
      </w:r>
    </w:p>
    <w:p>
      <w:pPr>
        <w:pStyle w:val="Normal"/>
        <w:rPr>
          <w:b/>
          <w:kern w:val="0"/>
          <w:sz w:val="22"/>
          <w:szCs w:val="22"/>
        </w:rPr>
      </w:pPr>
      <w:r>
        <w:rPr>
          <w:b/>
          <w:kern w:val="0"/>
          <w:sz w:val="22"/>
          <w:szCs w:val="22"/>
        </w:rPr>
      </w:r>
    </w:p>
    <w:p>
      <w:pPr>
        <w:pStyle w:val="Normal"/>
        <w:rPr>
          <w:b/>
          <w:kern w:val="0"/>
          <w:sz w:val="22"/>
          <w:szCs w:val="22"/>
        </w:rPr>
      </w:pPr>
      <w:r>
        <w:rPr>
          <w:b/>
          <w:kern w:val="0"/>
          <w:sz w:val="22"/>
          <w:szCs w:val="22"/>
        </w:rPr>
        <w:t>Észak-Budapesti Tankerületi Központ</w:t>
      </w:r>
    </w:p>
    <w:p>
      <w:pPr>
        <w:pStyle w:val="Normal"/>
        <w:widowControl/>
        <w:suppressAutoHyphens w:val="true"/>
        <w:overflowPunct w:val="false"/>
        <w:ind w:hanging="360" w:start="360"/>
        <w:jc w:val="both"/>
        <w:rPr>
          <w:kern w:val="0"/>
          <w:sz w:val="22"/>
          <w:szCs w:val="22"/>
        </w:rPr>
      </w:pPr>
      <w:r>
        <w:rPr>
          <w:kern w:val="0"/>
          <w:sz w:val="22"/>
          <w:szCs w:val="22"/>
        </w:rPr>
        <w:t xml:space="preserve">székhely: </w:t>
        <w:tab/>
        <w:tab/>
        <w:t>1033 Budapest, Fő tér 1.</w:t>
      </w:r>
    </w:p>
    <w:p>
      <w:pPr>
        <w:pStyle w:val="Normal"/>
        <w:widowControl/>
        <w:suppressAutoHyphens w:val="true"/>
        <w:overflowPunct w:val="false"/>
        <w:ind w:hanging="360" w:start="360"/>
        <w:jc w:val="both"/>
        <w:rPr>
          <w:kern w:val="0"/>
          <w:sz w:val="22"/>
          <w:szCs w:val="22"/>
        </w:rPr>
      </w:pPr>
      <w:r>
        <w:rPr>
          <w:kern w:val="0"/>
          <w:sz w:val="22"/>
          <w:szCs w:val="22"/>
        </w:rPr>
        <w:t xml:space="preserve">képviseli: </w:t>
        <w:tab/>
        <w:tab/>
        <w:t>Tamás Ilona tankerületi igazgató</w:t>
      </w:r>
    </w:p>
    <w:p>
      <w:pPr>
        <w:pStyle w:val="Normal"/>
        <w:jc w:val="both"/>
        <w:rPr>
          <w:sz w:val="22"/>
          <w:szCs w:val="22"/>
        </w:rPr>
      </w:pPr>
      <w:r>
        <w:rPr>
          <w:sz w:val="22"/>
          <w:szCs w:val="22"/>
        </w:rPr>
        <w:t>adószám:</w:t>
        <w:tab/>
        <w:tab/>
        <w:t>15835107-2-41</w:t>
      </w:r>
    </w:p>
    <w:p>
      <w:pPr>
        <w:pStyle w:val="Normal"/>
        <w:jc w:val="both"/>
        <w:rPr>
          <w:kern w:val="0"/>
          <w:sz w:val="22"/>
          <w:szCs w:val="22"/>
          <w:lang w:eastAsia="ar-SA"/>
        </w:rPr>
      </w:pPr>
      <w:r>
        <w:rPr>
          <w:sz w:val="22"/>
          <w:szCs w:val="22"/>
        </w:rPr>
        <w:t>bankszámla szám:</w:t>
        <w:tab/>
      </w:r>
      <w:r>
        <w:rPr>
          <w:kern w:val="0"/>
          <w:sz w:val="22"/>
          <w:szCs w:val="22"/>
          <w:lang w:eastAsia="ar-SA"/>
        </w:rPr>
        <w:t>10032000-00336695-00000000</w:t>
      </w:r>
    </w:p>
    <w:p>
      <w:pPr>
        <w:pStyle w:val="Normal"/>
        <w:jc w:val="both"/>
        <w:rPr>
          <w:sz w:val="22"/>
          <w:szCs w:val="22"/>
        </w:rPr>
      </w:pPr>
      <w:r>
        <w:rPr>
          <w:kern w:val="0"/>
          <w:sz w:val="22"/>
          <w:szCs w:val="22"/>
          <w:lang w:eastAsia="ar-SA"/>
        </w:rPr>
        <w:t>számlavezető:</w:t>
        <w:tab/>
        <w:tab/>
        <w:t>Magyar Államkincstár</w:t>
      </w:r>
    </w:p>
    <w:p>
      <w:pPr>
        <w:pStyle w:val="Normal"/>
        <w:jc w:val="both"/>
        <w:rPr>
          <w:sz w:val="22"/>
          <w:szCs w:val="22"/>
        </w:rPr>
      </w:pPr>
      <w:r>
        <w:rPr>
          <w:sz w:val="22"/>
          <w:szCs w:val="22"/>
        </w:rPr>
        <w:t xml:space="preserve">mint bérbeadó (a továbbiakban: </w:t>
      </w:r>
      <w:r>
        <w:rPr>
          <w:b/>
          <w:bCs/>
          <w:sz w:val="22"/>
          <w:szCs w:val="22"/>
        </w:rPr>
        <w:t>Bérbeadó)</w:t>
      </w:r>
    </w:p>
    <w:p>
      <w:pPr>
        <w:pStyle w:val="Normal"/>
        <w:rPr>
          <w:sz w:val="22"/>
          <w:szCs w:val="22"/>
        </w:rPr>
      </w:pPr>
      <w:r>
        <w:rPr>
          <w:sz w:val="22"/>
          <w:szCs w:val="22"/>
        </w:rPr>
      </w:r>
    </w:p>
    <w:p>
      <w:pPr>
        <w:pStyle w:val="Normal"/>
        <w:rPr>
          <w:sz w:val="22"/>
          <w:szCs w:val="22"/>
        </w:rPr>
      </w:pPr>
      <w:r>
        <w:rPr>
          <w:sz w:val="22"/>
          <w:szCs w:val="22"/>
        </w:rPr>
        <w:t xml:space="preserve">másrészről </w:t>
      </w:r>
    </w:p>
    <w:p>
      <w:pPr>
        <w:pStyle w:val="Normal"/>
        <w:tabs>
          <w:tab w:val="clear" w:pos="709"/>
          <w:tab w:val="left" w:pos="2127" w:leader="none"/>
        </w:tabs>
        <w:rPr>
          <w:sz w:val="22"/>
          <w:szCs w:val="22"/>
        </w:rPr>
      </w:pPr>
      <w:r>
        <w:rPr>
          <w:sz w:val="22"/>
          <w:szCs w:val="22"/>
        </w:rPr>
      </w:r>
    </w:p>
    <w:p>
      <w:pPr>
        <w:pStyle w:val="Normal"/>
        <w:tabs>
          <w:tab w:val="clear" w:pos="709"/>
          <w:tab w:val="left" w:pos="2127" w:leader="none"/>
          <w:tab w:val="left" w:pos="2977" w:leader="none"/>
        </w:tabs>
        <w:rPr>
          <w:sz w:val="22"/>
          <w:szCs w:val="22"/>
        </w:rPr>
      </w:pPr>
      <w:r>
        <w:rPr>
          <w:sz w:val="22"/>
          <w:szCs w:val="22"/>
        </w:rPr>
        <w:t>név/cégnév/egyéni vállalkozó neve/egyéb szervezet neve:</w:t>
      </w:r>
    </w:p>
    <w:p>
      <w:pPr>
        <w:pStyle w:val="Normal"/>
        <w:tabs>
          <w:tab w:val="clear" w:pos="709"/>
          <w:tab w:val="left" w:pos="2127" w:leader="none"/>
          <w:tab w:val="left" w:pos="2977" w:leader="none"/>
        </w:tabs>
        <w:rPr>
          <w:sz w:val="22"/>
          <w:szCs w:val="22"/>
        </w:rPr>
      </w:pPr>
      <w:r>
        <w:rPr>
          <w:sz w:val="22"/>
          <w:szCs w:val="22"/>
        </w:rPr>
        <w:t xml:space="preserve">cégjegyzékszám/nyilvántartási szám:  </w:t>
        <w:tab/>
      </w:r>
    </w:p>
    <w:p>
      <w:pPr>
        <w:pStyle w:val="Normal"/>
        <w:tabs>
          <w:tab w:val="clear" w:pos="709"/>
          <w:tab w:val="left" w:pos="2127" w:leader="none"/>
          <w:tab w:val="left" w:pos="2977" w:leader="none"/>
        </w:tabs>
        <w:rPr>
          <w:sz w:val="22"/>
          <w:szCs w:val="22"/>
        </w:rPr>
      </w:pPr>
      <w:r>
        <w:rPr>
          <w:sz w:val="22"/>
          <w:szCs w:val="22"/>
        </w:rPr>
        <w:t xml:space="preserve">székhely/lakcím: </w:t>
      </w:r>
    </w:p>
    <w:p>
      <w:pPr>
        <w:pStyle w:val="Normal"/>
        <w:tabs>
          <w:tab w:val="clear" w:pos="709"/>
          <w:tab w:val="left" w:pos="2127" w:leader="none"/>
          <w:tab w:val="left" w:pos="2977" w:leader="none"/>
        </w:tabs>
        <w:rPr>
          <w:sz w:val="22"/>
          <w:szCs w:val="22"/>
        </w:rPr>
      </w:pPr>
      <w:r>
        <w:rPr>
          <w:sz w:val="22"/>
          <w:szCs w:val="22"/>
        </w:rPr>
        <w:t>anyja neve (természetes személy bérlő):</w:t>
      </w:r>
    </w:p>
    <w:p>
      <w:pPr>
        <w:pStyle w:val="Normal"/>
        <w:tabs>
          <w:tab w:val="clear" w:pos="709"/>
          <w:tab w:val="left" w:pos="2127" w:leader="none"/>
          <w:tab w:val="left" w:pos="2977" w:leader="none"/>
        </w:tabs>
        <w:rPr>
          <w:sz w:val="22"/>
          <w:szCs w:val="22"/>
        </w:rPr>
      </w:pPr>
      <w:r>
        <w:rPr>
          <w:sz w:val="22"/>
          <w:szCs w:val="22"/>
        </w:rPr>
        <w:t>levelezési cím (amennyiben a székhely címtől/lakcímtől eltér):</w:t>
        <w:tab/>
        <w:tab/>
      </w:r>
    </w:p>
    <w:p>
      <w:pPr>
        <w:pStyle w:val="Normal"/>
        <w:tabs>
          <w:tab w:val="clear" w:pos="709"/>
          <w:tab w:val="left" w:pos="2127" w:leader="none"/>
          <w:tab w:val="left" w:pos="2977" w:leader="none"/>
          <w:tab w:val="left" w:pos="5372" w:leader="none"/>
        </w:tabs>
        <w:rPr>
          <w:sz w:val="22"/>
          <w:szCs w:val="22"/>
        </w:rPr>
      </w:pPr>
      <w:r>
        <w:rPr>
          <w:sz w:val="22"/>
          <w:szCs w:val="22"/>
        </w:rPr>
        <w:t>adószám/adóigazgatási szám:</w:t>
        <w:tab/>
      </w:r>
    </w:p>
    <w:p>
      <w:pPr>
        <w:pStyle w:val="Normal"/>
        <w:tabs>
          <w:tab w:val="clear" w:pos="709"/>
          <w:tab w:val="left" w:pos="2127" w:leader="none"/>
          <w:tab w:val="left" w:pos="2977" w:leader="none"/>
          <w:tab w:val="left" w:pos="5372" w:leader="none"/>
        </w:tabs>
        <w:rPr>
          <w:sz w:val="22"/>
          <w:szCs w:val="22"/>
        </w:rPr>
      </w:pPr>
      <w:r>
        <w:rPr>
          <w:sz w:val="22"/>
          <w:szCs w:val="22"/>
        </w:rPr>
        <w:t>bankszámla szám:</w:t>
        <w:tab/>
      </w:r>
    </w:p>
    <w:p>
      <w:pPr>
        <w:pStyle w:val="Normal"/>
        <w:tabs>
          <w:tab w:val="clear" w:pos="709"/>
          <w:tab w:val="left" w:pos="2127" w:leader="none"/>
          <w:tab w:val="left" w:pos="2977" w:leader="none"/>
          <w:tab w:val="left" w:pos="5372" w:leader="none"/>
        </w:tabs>
        <w:rPr>
          <w:sz w:val="22"/>
          <w:szCs w:val="22"/>
        </w:rPr>
      </w:pPr>
      <w:r>
        <w:rPr>
          <w:sz w:val="22"/>
          <w:szCs w:val="22"/>
        </w:rPr>
        <w:t>képviseli:</w:t>
        <w:tab/>
      </w:r>
    </w:p>
    <w:p>
      <w:pPr>
        <w:pStyle w:val="Normal"/>
        <w:tabs>
          <w:tab w:val="clear" w:pos="709"/>
          <w:tab w:val="left" w:pos="2977" w:leader="none"/>
        </w:tabs>
        <w:rPr>
          <w:sz w:val="22"/>
          <w:szCs w:val="22"/>
        </w:rPr>
      </w:pPr>
      <w:r>
        <w:rPr>
          <w:sz w:val="22"/>
          <w:szCs w:val="22"/>
        </w:rPr>
        <w:t xml:space="preserve">mint bérlő (a továbbiakban: </w:t>
      </w:r>
      <w:r>
        <w:rPr>
          <w:b/>
          <w:bCs/>
          <w:sz w:val="22"/>
          <w:szCs w:val="22"/>
        </w:rPr>
        <w:t>Bérlő</w:t>
      </w:r>
      <w:r>
        <w:rPr>
          <w:sz w:val="22"/>
          <w:szCs w:val="22"/>
        </w:rPr>
        <w:t>)</w:t>
      </w:r>
    </w:p>
    <w:p>
      <w:pPr>
        <w:pStyle w:val="Normal"/>
        <w:jc w:val="both"/>
        <w:rPr>
          <w:sz w:val="22"/>
          <w:szCs w:val="22"/>
        </w:rPr>
      </w:pPr>
      <w:r>
        <w:rPr>
          <w:sz w:val="22"/>
          <w:szCs w:val="22"/>
        </w:rPr>
      </w:r>
    </w:p>
    <w:p>
      <w:pPr>
        <w:pStyle w:val="Normal"/>
        <w:jc w:val="both"/>
        <w:rPr>
          <w:sz w:val="22"/>
          <w:szCs w:val="22"/>
        </w:rPr>
      </w:pPr>
      <w:r>
        <w:rPr>
          <w:sz w:val="22"/>
          <w:szCs w:val="22"/>
        </w:rPr>
        <w:t>(együttesen</w:t>
      </w:r>
      <w:r>
        <w:rPr>
          <w:b/>
          <w:bCs/>
          <w:sz w:val="22"/>
          <w:szCs w:val="22"/>
        </w:rPr>
        <w:t xml:space="preserve"> Felek</w:t>
      </w:r>
      <w:r>
        <w:rPr>
          <w:sz w:val="22"/>
          <w:szCs w:val="22"/>
        </w:rPr>
        <w:t>) között, az alulírott helyen és napon, az alábbi feltételek mellett:</w:t>
      </w:r>
    </w:p>
    <w:p>
      <w:pPr>
        <w:pStyle w:val="Normal"/>
        <w:jc w:val="both"/>
        <w:rPr>
          <w:color w:val="000000"/>
          <w:sz w:val="22"/>
          <w:szCs w:val="22"/>
        </w:rPr>
      </w:pPr>
      <w:r>
        <w:rPr>
          <w:color w:val="000000"/>
          <w:sz w:val="22"/>
          <w:szCs w:val="22"/>
        </w:rPr>
      </w:r>
    </w:p>
    <w:p>
      <w:pPr>
        <w:pStyle w:val="Normal"/>
        <w:widowControl/>
        <w:numPr>
          <w:ilvl w:val="0"/>
          <w:numId w:val="1"/>
        </w:numPr>
        <w:tabs>
          <w:tab w:val="clear" w:pos="709"/>
          <w:tab w:val="left" w:pos="284" w:leader="none"/>
        </w:tabs>
        <w:overflowPunct w:val="false"/>
        <w:spacing w:before="120" w:after="0"/>
        <w:ind w:hanging="502" w:start="426"/>
        <w:jc w:val="both"/>
        <w:rPr>
          <w:b/>
          <w:bCs/>
          <w:sz w:val="22"/>
          <w:szCs w:val="22"/>
        </w:rPr>
      </w:pPr>
      <w:r>
        <w:rPr>
          <w:b/>
          <w:bCs/>
          <w:sz w:val="22"/>
          <w:szCs w:val="22"/>
        </w:rPr>
        <w:t>A Szerződés tárgya:</w:t>
      </w:r>
    </w:p>
    <w:p>
      <w:pPr>
        <w:pStyle w:val="ListParagraph"/>
        <w:numPr>
          <w:ilvl w:val="1"/>
          <w:numId w:val="1"/>
        </w:numPr>
        <w:rPr>
          <w:color w:val="000000"/>
          <w:sz w:val="22"/>
          <w:szCs w:val="22"/>
        </w:rPr>
      </w:pPr>
      <w:r>
        <w:rPr>
          <w:color w:val="000000"/>
          <w:sz w:val="22"/>
          <w:szCs w:val="22"/>
        </w:rPr>
        <w:t>Felek rögzítik, hogy Bérbeadó vagyonkezelésébe tartozik a (köznevelési intézmény neve): Békásmegyeri Veres Péter Gimnázium elhelyezésére szolgáló (köznevelési intézmény címe): 1039 Budapest Csobánka tér 7. alatt fekvő ingatlan (a továbbiakban: Ingatlan).</w:t>
      </w:r>
    </w:p>
    <w:p>
      <w:pPr>
        <w:pStyle w:val="ListParagraph"/>
        <w:widowControl/>
        <w:numPr>
          <w:ilvl w:val="1"/>
          <w:numId w:val="1"/>
        </w:numPr>
        <w:overflowPunct w:val="false"/>
        <w:spacing w:before="120" w:after="0"/>
        <w:jc w:val="both"/>
        <w:rPr>
          <w:color w:val="000000"/>
          <w:sz w:val="22"/>
          <w:szCs w:val="22"/>
        </w:rPr>
      </w:pPr>
      <w:r>
        <w:rPr>
          <w:color w:val="000000"/>
          <w:sz w:val="22"/>
          <w:szCs w:val="22"/>
        </w:rPr>
        <w:t xml:space="preserve">Bérbeadó a jelen Szerződésben és a Szerződés 1. sz. mellékletét képező Általános Szerződési Feltételekben írtak alapján bérbe adja, Bérlő pedig bérbe veszi az 1.1. pontban megjelölt Ingatlan jelen Szerződés 2. pontjában megjelölt helyiségét vagy helyiségeit (a továbbiakban: Bérlemény), a Szerződés 3. pontjában megjelölt bérleti díj megfizetése ellenében. </w:t>
      </w:r>
    </w:p>
    <w:p>
      <w:pPr>
        <w:pStyle w:val="Normal"/>
        <w:widowControl/>
        <w:numPr>
          <w:ilvl w:val="1"/>
          <w:numId w:val="1"/>
        </w:numPr>
        <w:tabs>
          <w:tab w:val="clear" w:pos="709"/>
          <w:tab w:val="left" w:pos="851" w:leader="none"/>
        </w:tabs>
        <w:overflowPunct w:val="false"/>
        <w:spacing w:before="120" w:after="0"/>
        <w:ind w:hanging="425" w:start="851"/>
        <w:jc w:val="both"/>
        <w:rPr>
          <w:color w:val="000000"/>
          <w:sz w:val="22"/>
          <w:szCs w:val="22"/>
        </w:rPr>
      </w:pPr>
      <w:r>
        <w:rPr>
          <w:bCs/>
          <w:sz w:val="22"/>
          <w:szCs w:val="22"/>
        </w:rPr>
        <w:t>Bérlő kijelenti, és a jelen Szerződés aláírásával igazolja, hogy a jelen szerződés 1. sz. mellékletét képező Általános szerződési feltételeket (ÁSZF) megismerte és azokat a Bérbeadótól átvette.</w:t>
      </w:r>
    </w:p>
    <w:p>
      <w:pPr>
        <w:pStyle w:val="Normal"/>
        <w:widowControl/>
        <w:numPr>
          <w:ilvl w:val="1"/>
          <w:numId w:val="1"/>
        </w:numPr>
        <w:tabs>
          <w:tab w:val="clear" w:pos="709"/>
          <w:tab w:val="left" w:pos="851" w:leader="none"/>
        </w:tabs>
        <w:overflowPunct w:val="false"/>
        <w:spacing w:before="120" w:after="0"/>
        <w:ind w:hanging="425" w:start="851"/>
        <w:jc w:val="both"/>
        <w:rPr>
          <w:color w:val="000000"/>
          <w:sz w:val="22"/>
          <w:szCs w:val="22"/>
        </w:rPr>
      </w:pPr>
      <w:r>
        <w:rPr>
          <w:bCs/>
          <w:sz w:val="22"/>
          <w:szCs w:val="22"/>
        </w:rPr>
        <w:t>Felek kijelentik, hogy a Szerződés aláírásával kötelezettséget vállalnak az ÁSZF-ben foglaltak betartására</w:t>
      </w:r>
      <w:r>
        <w:rPr>
          <w:color w:val="000000"/>
          <w:sz w:val="22"/>
          <w:szCs w:val="22"/>
        </w:rPr>
        <w:t>.</w:t>
      </w:r>
    </w:p>
    <w:p>
      <w:pPr>
        <w:pStyle w:val="ListParagraph"/>
        <w:widowControl/>
        <w:numPr>
          <w:ilvl w:val="0"/>
          <w:numId w:val="1"/>
        </w:numPr>
        <w:overflowPunct w:val="false"/>
        <w:spacing w:before="120" w:after="0"/>
        <w:jc w:val="both"/>
        <w:rPr>
          <w:b/>
          <w:bCs/>
          <w:sz w:val="22"/>
          <w:szCs w:val="22"/>
        </w:rPr>
      </w:pPr>
      <w:r>
        <w:rPr>
          <w:b/>
          <w:bCs/>
          <w:sz w:val="22"/>
          <w:szCs w:val="22"/>
        </w:rPr>
        <w:t>A bérleti jogviszony adatai:</w:t>
      </w:r>
    </w:p>
    <w:p>
      <w:pPr>
        <w:pStyle w:val="Normal"/>
        <w:widowControl/>
        <w:numPr>
          <w:ilvl w:val="1"/>
          <w:numId w:val="1"/>
        </w:numPr>
        <w:tabs>
          <w:tab w:val="clear" w:pos="709"/>
          <w:tab w:val="left" w:pos="851" w:leader="none"/>
        </w:tabs>
        <w:overflowPunct w:val="false"/>
        <w:spacing w:before="120" w:after="0"/>
        <w:ind w:hanging="425" w:start="851"/>
        <w:jc w:val="both"/>
        <w:rPr>
          <w:color w:val="000000"/>
          <w:sz w:val="22"/>
          <w:szCs w:val="22"/>
        </w:rPr>
      </w:pPr>
      <w:r>
        <w:rPr>
          <w:color w:val="000000"/>
          <w:sz w:val="22"/>
          <w:szCs w:val="22"/>
        </w:rPr>
        <w:t xml:space="preserve">a Bérlemény megnevezése: </w:t>
      </w:r>
      <w:r>
        <w:rPr>
          <w:b/>
          <w:color w:val="000000"/>
          <w:sz w:val="22"/>
          <w:szCs w:val="22"/>
        </w:rPr>
        <w:t>iskolai büfé</w:t>
      </w:r>
      <w:r>
        <w:rPr>
          <w:color w:val="000000"/>
          <w:sz w:val="22"/>
          <w:szCs w:val="22"/>
        </w:rPr>
        <w:t xml:space="preserve"> </w:t>
      </w:r>
    </w:p>
    <w:p>
      <w:pPr>
        <w:pStyle w:val="Normal"/>
        <w:widowControl/>
        <w:numPr>
          <w:ilvl w:val="1"/>
          <w:numId w:val="1"/>
        </w:numPr>
        <w:tabs>
          <w:tab w:val="clear" w:pos="709"/>
          <w:tab w:val="left" w:pos="851" w:leader="none"/>
        </w:tabs>
        <w:overflowPunct w:val="false"/>
        <w:spacing w:before="120" w:after="0"/>
        <w:ind w:hanging="425" w:start="851"/>
        <w:jc w:val="both"/>
        <w:rPr>
          <w:color w:val="000000"/>
          <w:sz w:val="22"/>
          <w:szCs w:val="22"/>
        </w:rPr>
      </w:pPr>
      <w:r>
        <w:rPr>
          <w:color w:val="000000"/>
          <w:sz w:val="22"/>
          <w:szCs w:val="22"/>
        </w:rPr>
        <w:t>a Bérlemény alapterülete: 11 m</w:t>
      </w:r>
      <w:r>
        <w:rPr>
          <w:color w:val="000000"/>
          <w:sz w:val="22"/>
          <w:szCs w:val="22"/>
          <w:vertAlign w:val="superscript"/>
        </w:rPr>
        <w:t>2</w:t>
      </w:r>
    </w:p>
    <w:p>
      <w:pPr>
        <w:pStyle w:val="Normal"/>
        <w:widowControl/>
        <w:numPr>
          <w:ilvl w:val="1"/>
          <w:numId w:val="1"/>
        </w:numPr>
        <w:tabs>
          <w:tab w:val="clear" w:pos="709"/>
          <w:tab w:val="left" w:pos="851" w:leader="none"/>
        </w:tabs>
        <w:overflowPunct w:val="false"/>
        <w:spacing w:before="120" w:after="0"/>
        <w:ind w:hanging="425" w:start="851"/>
        <w:jc w:val="both"/>
        <w:rPr>
          <w:color w:val="000000"/>
          <w:sz w:val="22"/>
          <w:szCs w:val="22"/>
        </w:rPr>
      </w:pPr>
      <w:r>
        <w:rPr>
          <w:color w:val="000000"/>
          <w:sz w:val="22"/>
          <w:szCs w:val="22"/>
        </w:rPr>
        <w:t xml:space="preserve">a bérlet célja: </w:t>
      </w:r>
      <w:r>
        <w:rPr>
          <w:b/>
          <w:color w:val="000000"/>
          <w:sz w:val="22"/>
          <w:szCs w:val="22"/>
        </w:rPr>
        <w:t>büfé üzemeltetése</w:t>
      </w:r>
    </w:p>
    <w:p>
      <w:pPr>
        <w:pStyle w:val="ListParagraph"/>
        <w:widowControl/>
        <w:numPr>
          <w:ilvl w:val="1"/>
          <w:numId w:val="1"/>
        </w:numPr>
        <w:overflowPunct w:val="false"/>
        <w:spacing w:before="120" w:after="0"/>
        <w:jc w:val="both"/>
        <w:rPr>
          <w:color w:val="000000"/>
          <w:sz w:val="22"/>
          <w:szCs w:val="22"/>
        </w:rPr>
      </w:pPr>
      <w:r>
        <w:rPr>
          <w:bCs/>
          <w:sz w:val="22"/>
          <w:szCs w:val="22"/>
        </w:rPr>
        <w:t xml:space="preserve">A bérleti jogviszony időtartama: ... </w:t>
      </w:r>
      <w:r>
        <w:rPr>
          <w:color w:val="000000"/>
          <w:sz w:val="22"/>
          <w:szCs w:val="22"/>
        </w:rPr>
        <w:t>napjától … napjáig</w:t>
      </w:r>
    </w:p>
    <w:p>
      <w:pPr>
        <w:pStyle w:val="ListParagraph"/>
        <w:widowControl/>
        <w:numPr>
          <w:ilvl w:val="1"/>
          <w:numId w:val="1"/>
        </w:numPr>
        <w:overflowPunct w:val="false"/>
        <w:spacing w:before="120" w:after="0"/>
        <w:jc w:val="both"/>
        <w:rPr>
          <w:bCs/>
          <w:sz w:val="22"/>
          <w:szCs w:val="22"/>
        </w:rPr>
      </w:pPr>
      <w:r>
        <w:rPr>
          <w:bCs/>
          <w:sz w:val="22"/>
          <w:szCs w:val="22"/>
        </w:rPr>
        <w:t xml:space="preserve">A bérlő használatával érintett időszak: a 4. sz. melléklet szerinti nyitvatartási időben </w:t>
      </w:r>
    </w:p>
    <w:p>
      <w:pPr>
        <w:pStyle w:val="ListParagraph"/>
        <w:widowControl/>
        <w:numPr>
          <w:ilvl w:val="1"/>
          <w:numId w:val="1"/>
        </w:numPr>
        <w:overflowPunct w:val="false"/>
        <w:spacing w:before="120" w:after="0"/>
        <w:jc w:val="both"/>
        <w:rPr>
          <w:bCs/>
          <w:sz w:val="22"/>
          <w:szCs w:val="22"/>
        </w:rPr>
      </w:pPr>
      <w:r>
        <w:rPr>
          <w:bCs/>
          <w:sz w:val="22"/>
          <w:szCs w:val="22"/>
        </w:rPr>
        <w:t>Birtokba adás időpontja: …</w:t>
      </w:r>
    </w:p>
    <w:p>
      <w:pPr>
        <w:pStyle w:val="Normal"/>
        <w:widowControl/>
        <w:numPr>
          <w:ilvl w:val="0"/>
          <w:numId w:val="1"/>
        </w:numPr>
        <w:overflowPunct w:val="false"/>
        <w:spacing w:before="120" w:after="0"/>
        <w:jc w:val="both"/>
        <w:rPr>
          <w:b/>
          <w:bCs/>
          <w:sz w:val="22"/>
          <w:szCs w:val="22"/>
        </w:rPr>
      </w:pPr>
      <w:r>
        <w:rPr>
          <w:b/>
          <w:bCs/>
          <w:sz w:val="22"/>
          <w:szCs w:val="22"/>
        </w:rPr>
        <w:t>A bérleti díj összege, megfizetése</w:t>
      </w:r>
    </w:p>
    <w:p>
      <w:pPr>
        <w:pStyle w:val="ListParagraph"/>
        <w:widowControl/>
        <w:numPr>
          <w:ilvl w:val="1"/>
          <w:numId w:val="1"/>
        </w:numPr>
        <w:overflowPunct w:val="false"/>
        <w:spacing w:before="120" w:after="0"/>
        <w:jc w:val="both"/>
        <w:rPr>
          <w:bCs/>
          <w:sz w:val="22"/>
          <w:szCs w:val="22"/>
        </w:rPr>
      </w:pPr>
      <w:r>
        <w:rPr>
          <w:bCs/>
          <w:sz w:val="22"/>
          <w:szCs w:val="22"/>
        </w:rPr>
        <w:t>a bérleti díj összege: 57.200,- Ft/hó, azaz ötvenhétezer-kétszáz Ft/hó a.m.</w:t>
      </w:r>
    </w:p>
    <w:p>
      <w:pPr>
        <w:pStyle w:val="ListParagraph"/>
        <w:widowControl/>
        <w:numPr>
          <w:ilvl w:val="1"/>
          <w:numId w:val="1"/>
        </w:numPr>
        <w:overflowPunct w:val="false"/>
        <w:spacing w:before="120" w:after="0"/>
        <w:jc w:val="both"/>
        <w:rPr>
          <w:bCs/>
          <w:sz w:val="22"/>
          <w:szCs w:val="22"/>
        </w:rPr>
      </w:pPr>
      <w:r>
        <w:rPr>
          <w:bCs/>
          <w:sz w:val="22"/>
          <w:szCs w:val="22"/>
        </w:rPr>
        <w:t>A bérleti díj számlázásakor a decemberi és júniusi hónapokra a Bérbeadó a bérleti díj 50%-át számlázza ki. Felek megállapodnak abban, hogy amennyiben a bérlemény használata szünetel július és augusztus hónapokban, ezen időszakra Bérlőt nem terheli bérleti díj fizetési kötelezettség. Ha a büfé ebben az időszakban nyitva van (pl. nyári táborok vagy egyéb programok miatt) úgy a megállapított havi bérleti díj 1/30-a fizetendő a nyitva tartás napjaira.</w:t>
      </w:r>
    </w:p>
    <w:p>
      <w:pPr>
        <w:pStyle w:val="ListParagraph"/>
        <w:widowControl/>
        <w:numPr>
          <w:ilvl w:val="1"/>
          <w:numId w:val="1"/>
        </w:numPr>
        <w:overflowPunct w:val="false"/>
        <w:spacing w:before="120" w:after="0"/>
        <w:jc w:val="both"/>
        <w:rPr>
          <w:bCs/>
          <w:sz w:val="22"/>
          <w:szCs w:val="22"/>
        </w:rPr>
      </w:pPr>
      <w:r>
        <w:rPr>
          <w:bCs/>
          <w:sz w:val="22"/>
          <w:szCs w:val="22"/>
        </w:rPr>
        <w:t>Bérlő elfogadja, hogy a Bérbeadó – legkorábban 2027. szeptember 1-jétől esedékesen - egyoldalúan dönthet a bérleti díj módosításáról és a változások hatálybalépésétől kezdődően a vele közölt új bérleti díjat köteles megfizetni. Amennyiben Bérlő a díjemelést nem fogadja el, úgy Bérbeadó jogosult a szerződést 30 napos határidővel írásban felmondani.</w:t>
      </w:r>
    </w:p>
    <w:p>
      <w:pPr>
        <w:pStyle w:val="ListParagraph"/>
        <w:widowControl/>
        <w:numPr>
          <w:ilvl w:val="1"/>
          <w:numId w:val="1"/>
        </w:numPr>
        <w:overflowPunct w:val="false"/>
        <w:spacing w:before="120" w:after="0"/>
        <w:jc w:val="both"/>
        <w:rPr>
          <w:bCs/>
          <w:sz w:val="22"/>
          <w:szCs w:val="22"/>
        </w:rPr>
      </w:pPr>
      <w:r>
        <w:rPr>
          <w:bCs/>
          <w:sz w:val="22"/>
          <w:szCs w:val="22"/>
        </w:rPr>
        <w:t xml:space="preserve">a bérleti díj megfizetése: Bérlő az esedékes bérleti díjat a tárgyhónapot követő hónapban a Bérbeadó által a tárgyhónapra kiállított számla ellenében, a számla elektronikus úton történő megküldése napját követő 15 napon belül, átutalással köteles megfizetni, a Bérbeadó jelen szerződésben megjelölt bankszámlájára. Postai számlaküldés esetén a számla a kézhezvételének napját követő 15 napon belül esedékes. Az átutalás közlemény rovatában a számla sorszámát fel kell tüntetni. </w:t>
      </w:r>
    </w:p>
    <w:p>
      <w:pPr>
        <w:pStyle w:val="ListParagraph"/>
        <w:widowControl/>
        <w:numPr>
          <w:ilvl w:val="0"/>
          <w:numId w:val="1"/>
        </w:numPr>
        <w:overflowPunct w:val="false"/>
        <w:spacing w:before="120" w:after="0"/>
        <w:ind w:hanging="357" w:start="351"/>
        <w:jc w:val="both"/>
        <w:rPr>
          <w:bCs/>
          <w:sz w:val="22"/>
          <w:szCs w:val="22"/>
        </w:rPr>
      </w:pPr>
      <w:r>
        <w:rPr>
          <w:b/>
          <w:bCs/>
          <w:sz w:val="22"/>
          <w:szCs w:val="22"/>
        </w:rPr>
        <w:t>Egyéb feltételek:</w:t>
      </w:r>
    </w:p>
    <w:p>
      <w:pPr>
        <w:pStyle w:val="ListParagraph"/>
        <w:widowControl/>
        <w:numPr>
          <w:ilvl w:val="1"/>
          <w:numId w:val="1"/>
        </w:numPr>
        <w:overflowPunct w:val="false"/>
        <w:spacing w:before="120" w:after="0"/>
        <w:jc w:val="both"/>
        <w:rPr>
          <w:bCs/>
          <w:sz w:val="22"/>
          <w:szCs w:val="22"/>
        </w:rPr>
      </w:pPr>
      <w:r>
        <w:rPr>
          <w:bCs/>
          <w:sz w:val="22"/>
          <w:szCs w:val="22"/>
        </w:rPr>
        <w:t>Bérlő az üzemeltetést a saját eszközeivel, felszerelésével végzi. A Bérlő tudomásul veszi, hogy a büfé nyitvatartása a tanítási napokon az iskola Házirendjéhez, és a tanórák rendjéhez kell, hogy igazodjon. A tanulók a figyelmeztető csengetést követően a büfében nem tartózkodhatnak, ilyenkor a tanulókat nem szabad kiszolgálni. A büfé árukészletének beszerzéséről a Bérlő köteles gondoskodni.</w:t>
      </w:r>
    </w:p>
    <w:p>
      <w:pPr>
        <w:pStyle w:val="ListParagraph"/>
        <w:widowControl/>
        <w:numPr>
          <w:ilvl w:val="1"/>
          <w:numId w:val="1"/>
        </w:numPr>
        <w:overflowPunct w:val="false"/>
        <w:spacing w:before="120" w:after="0"/>
        <w:jc w:val="both"/>
        <w:rPr>
          <w:bCs/>
          <w:sz w:val="22"/>
          <w:szCs w:val="22"/>
        </w:rPr>
      </w:pPr>
      <w:r>
        <w:rPr>
          <w:bCs/>
          <w:sz w:val="22"/>
          <w:szCs w:val="22"/>
        </w:rPr>
        <w:t>Bérlő vállalja, hogy a büfé kínálatát az egészséges táplálkozásnak megfelelően alakítja ki, és külön engedély nélkül csak a 2. számú mellékletben felsorolt termékeket árusítja. Bérlő vállalja, hogy a büfében árusított egészséges táplálkozást biztosító termékek választékának kialakításában figyelembe veszi az igazgató és az iskolai egészségügyi szolgálat véleményét és javaslatait.</w:t>
      </w:r>
    </w:p>
    <w:p>
      <w:pPr>
        <w:pStyle w:val="ListParagraph"/>
        <w:widowControl/>
        <w:numPr>
          <w:ilvl w:val="1"/>
          <w:numId w:val="1"/>
        </w:numPr>
        <w:overflowPunct w:val="false"/>
        <w:spacing w:before="240" w:after="0"/>
        <w:ind w:hanging="431" w:start="856"/>
        <w:jc w:val="both"/>
        <w:rPr>
          <w:bCs/>
          <w:sz w:val="22"/>
          <w:szCs w:val="22"/>
        </w:rPr>
      </w:pPr>
      <w:r>
        <w:rPr>
          <w:bCs/>
          <w:sz w:val="22"/>
          <w:szCs w:val="22"/>
        </w:rPr>
        <w:t>A jelen szerződés 3. sz. mellékletét képezi az iskolai egészségügyi szolgálat állásfoglalása a Bérlő árukínálatának megfelelőségéről, a nevelési-oktatási intézmények működéséről és a köznevelési intézmények névhasználatáról szóló 20/2012. (VIII.31.) EMMI rendelet (a továbbiakban: 20/2012. EMMI rendelet) 130. § (2) bekezdésében írtak alapján.</w:t>
      </w:r>
    </w:p>
    <w:p>
      <w:pPr>
        <w:pStyle w:val="ListParagraph"/>
        <w:numPr>
          <w:ilvl w:val="1"/>
          <w:numId w:val="1"/>
        </w:numPr>
        <w:spacing w:before="240" w:after="0"/>
        <w:ind w:hanging="431" w:start="856"/>
        <w:jc w:val="both"/>
        <w:rPr>
          <w:bCs/>
          <w:sz w:val="22"/>
          <w:szCs w:val="22"/>
        </w:rPr>
      </w:pPr>
      <w:r>
        <w:rPr>
          <w:bCs/>
          <w:sz w:val="22"/>
          <w:szCs w:val="22"/>
        </w:rPr>
        <w:t>A jelen szerződés 4. sz. mellékletét képezi</w:t>
      </w:r>
      <w:r>
        <w:rPr>
          <w:sz w:val="22"/>
          <w:szCs w:val="22"/>
        </w:rPr>
        <w:t xml:space="preserve"> </w:t>
      </w:r>
      <w:r>
        <w:rPr>
          <w:bCs/>
          <w:sz w:val="22"/>
          <w:szCs w:val="22"/>
        </w:rPr>
        <w:t xml:space="preserve">az élelmiszer-árusító üzlet nyitvatartási rendje, valamint a 20/2012. EMMI rendelet </w:t>
      </w:r>
      <w:r>
        <w:rPr>
          <w:sz w:val="22"/>
          <w:szCs w:val="22"/>
        </w:rPr>
        <w:t>130. § (5) bekezdésére tekintettel 5. számú mellékletét képezi a szülői szervezet és a diákönkormányzat azzal való egyetértése.</w:t>
      </w:r>
    </w:p>
    <w:p>
      <w:pPr>
        <w:pStyle w:val="ListParagraph"/>
        <w:widowControl/>
        <w:numPr>
          <w:ilvl w:val="1"/>
          <w:numId w:val="1"/>
        </w:numPr>
        <w:overflowPunct w:val="false"/>
        <w:spacing w:before="120" w:after="0"/>
        <w:jc w:val="both"/>
        <w:rPr>
          <w:bCs/>
          <w:sz w:val="22"/>
          <w:szCs w:val="22"/>
        </w:rPr>
      </w:pPr>
      <w:r>
        <w:rPr>
          <w:bCs/>
          <w:sz w:val="22"/>
          <w:szCs w:val="22"/>
        </w:rPr>
        <w:t>Bérlő köteles a Bérlemény területére vonatkozóan a környezetvédelmi-, tűzvédelmi-, munkavédelmi- és más hatósági rendelkezésekben, egyéb szabványokban, jogszabályokban és előírásokban, valamint iskolai Házirendben, SZMSZ-ben foglalt kötelezettségeket a bérleti jogviszony teljes időtartama alatt teljesíteni, valamint beszerezni a működéséhez esetlegesen szükséges hatósági engedélyeket. A jelen pont szerinti bármely - Bérlővel szemben előírt - kötelezettség nem megfelelő teljesítéséből következő összes jogkövetkezményekért mind a polgári jogi, mind a büntetőjogi, mind pedig a teljes anyagi felelősség a Bérlőt terheli, melyet a Bérbeadó jogosult teljes mértékig a Bérlőre tovább hárítani.</w:t>
      </w:r>
    </w:p>
    <w:p>
      <w:pPr>
        <w:pStyle w:val="ListParagraph"/>
        <w:widowControl/>
        <w:numPr>
          <w:ilvl w:val="1"/>
          <w:numId w:val="1"/>
        </w:numPr>
        <w:overflowPunct w:val="false"/>
        <w:spacing w:before="120" w:after="0"/>
        <w:jc w:val="both"/>
        <w:rPr>
          <w:bCs/>
          <w:sz w:val="22"/>
          <w:szCs w:val="22"/>
        </w:rPr>
      </w:pPr>
      <w:r>
        <w:rPr>
          <w:bCs/>
          <w:sz w:val="22"/>
          <w:szCs w:val="22"/>
        </w:rPr>
        <w:t xml:space="preserve">Bérlő tudomásul veszi, hogy a Bérlemény és az Iskola teljes területén tilos a dohányzás, alkohol és szeszes ital fogyasztása, valamint kábító hatású szerek használata. </w:t>
      </w:r>
    </w:p>
    <w:p>
      <w:pPr>
        <w:pStyle w:val="ListParagraph"/>
        <w:widowControl/>
        <w:overflowPunct w:val="false"/>
        <w:spacing w:before="120" w:after="0"/>
        <w:ind w:start="858"/>
        <w:jc w:val="both"/>
        <w:rPr>
          <w:bCs/>
          <w:sz w:val="22"/>
          <w:szCs w:val="22"/>
        </w:rPr>
      </w:pPr>
      <w:r>
        <w:rPr>
          <w:bCs/>
          <w:sz w:val="22"/>
          <w:szCs w:val="22"/>
        </w:rPr>
      </w:r>
    </w:p>
    <w:p>
      <w:pPr>
        <w:pStyle w:val="ListParagraph"/>
        <w:widowControl/>
        <w:numPr>
          <w:ilvl w:val="1"/>
          <w:numId w:val="1"/>
        </w:numPr>
        <w:overflowPunct w:val="false"/>
        <w:jc w:val="both"/>
        <w:rPr>
          <w:bCs/>
          <w:sz w:val="22"/>
          <w:szCs w:val="22"/>
        </w:rPr>
      </w:pPr>
      <w:r>
        <w:rPr>
          <w:bCs/>
          <w:sz w:val="22"/>
          <w:szCs w:val="22"/>
        </w:rPr>
        <w:t xml:space="preserve">A Bérleményt igénybe vevők személyi biztonságáért a Bérlő felelős. A Bérlő tulajdonában/használatában lévő, a Bérleménybe behozott tárgyakért a Bérbeadó felelősséget nem vállal. </w:t>
      </w:r>
    </w:p>
    <w:p>
      <w:pPr>
        <w:pStyle w:val="ListParagraph"/>
        <w:widowControl/>
        <w:overflowPunct w:val="false"/>
        <w:ind w:start="716"/>
        <w:jc w:val="both"/>
        <w:rPr>
          <w:bCs/>
          <w:sz w:val="22"/>
          <w:szCs w:val="22"/>
        </w:rPr>
      </w:pPr>
      <w:r>
        <w:rPr>
          <w:bCs/>
          <w:sz w:val="22"/>
          <w:szCs w:val="22"/>
        </w:rPr>
      </w:r>
    </w:p>
    <w:p>
      <w:pPr>
        <w:pStyle w:val="ListParagraph"/>
        <w:widowControl/>
        <w:numPr>
          <w:ilvl w:val="1"/>
          <w:numId w:val="1"/>
        </w:numPr>
        <w:overflowPunct w:val="false"/>
        <w:jc w:val="both"/>
        <w:rPr>
          <w:bCs/>
          <w:sz w:val="22"/>
          <w:szCs w:val="22"/>
        </w:rPr>
      </w:pPr>
      <w:r>
        <w:rPr>
          <w:bCs/>
          <w:sz w:val="22"/>
          <w:szCs w:val="22"/>
        </w:rPr>
        <w:t xml:space="preserve">Bérbeadó – Bérlő tevékenységének és működésének lehetőség szerinti legkisebb akadályoztatásával – bármikor jogosult a Bérlemény használatát, illetve a Bérlemény állapotát a Bérlő képviselőjének jelenlétében ellenőrizni. </w:t>
      </w:r>
    </w:p>
    <w:p>
      <w:pPr>
        <w:pStyle w:val="ListParagraph"/>
        <w:widowControl/>
        <w:overflowPunct w:val="false"/>
        <w:ind w:start="792"/>
        <w:jc w:val="both"/>
        <w:rPr>
          <w:bCs/>
          <w:sz w:val="22"/>
          <w:szCs w:val="22"/>
        </w:rPr>
      </w:pPr>
      <w:r>
        <w:rPr>
          <w:bCs/>
          <w:sz w:val="22"/>
          <w:szCs w:val="22"/>
        </w:rPr>
      </w:r>
    </w:p>
    <w:p>
      <w:pPr>
        <w:pStyle w:val="Normal"/>
        <w:widowControl/>
        <w:overflowPunct w:val="false"/>
        <w:spacing w:before="0" w:after="0"/>
        <w:contextualSpacing/>
        <w:jc w:val="both"/>
        <w:rPr>
          <w:bCs/>
          <w:sz w:val="22"/>
          <w:szCs w:val="22"/>
        </w:rPr>
      </w:pPr>
      <w:r>
        <w:rPr>
          <w:bCs/>
          <w:sz w:val="22"/>
          <w:szCs w:val="22"/>
        </w:rPr>
      </w:r>
    </w:p>
    <w:p>
      <w:pPr>
        <w:pStyle w:val="ListParagraph"/>
        <w:widowControl/>
        <w:numPr>
          <w:ilvl w:val="1"/>
          <w:numId w:val="1"/>
        </w:numPr>
        <w:overflowPunct w:val="false"/>
        <w:spacing w:before="0" w:after="0"/>
        <w:contextualSpacing/>
        <w:jc w:val="both"/>
        <w:rPr>
          <w:bCs/>
          <w:sz w:val="22"/>
          <w:szCs w:val="22"/>
        </w:rPr>
      </w:pPr>
      <w:r>
        <w:rPr>
          <w:bCs/>
          <w:sz w:val="22"/>
          <w:szCs w:val="22"/>
        </w:rPr>
        <w:t xml:space="preserve">A jelen szerződést Bérbeadó jogosult azonnali hatállyal írásban felmondani, amennyiben bérlő a büfében az egészségügyi szolgálat által nem véleményezett és támogatott terméket forgalmaz, vagy egyéb súlyos vagy ismételt szerződésszegést követ el. </w:t>
      </w:r>
    </w:p>
    <w:p>
      <w:pPr>
        <w:pStyle w:val="ListParagraph"/>
        <w:widowControl/>
        <w:numPr>
          <w:ilvl w:val="0"/>
          <w:numId w:val="1"/>
        </w:numPr>
        <w:overflowPunct w:val="false"/>
        <w:spacing w:before="120" w:after="0"/>
        <w:jc w:val="both"/>
        <w:rPr>
          <w:bCs/>
          <w:sz w:val="22"/>
          <w:szCs w:val="22"/>
        </w:rPr>
      </w:pPr>
      <w:r>
        <w:rPr>
          <w:bCs/>
          <w:sz w:val="22"/>
          <w:szCs w:val="22"/>
        </w:rPr>
        <w:t>Kapcsolattartás:</w:t>
      </w:r>
    </w:p>
    <w:p>
      <w:pPr>
        <w:pStyle w:val="Normal"/>
        <w:widowControl/>
        <w:numPr>
          <w:ilvl w:val="1"/>
          <w:numId w:val="1"/>
        </w:numPr>
        <w:tabs>
          <w:tab w:val="clear" w:pos="709"/>
          <w:tab w:val="left" w:pos="851" w:leader="none"/>
        </w:tabs>
        <w:overflowPunct w:val="false"/>
        <w:spacing w:before="120" w:after="0"/>
        <w:ind w:hanging="491" w:start="851"/>
        <w:jc w:val="both"/>
        <w:rPr>
          <w:color w:val="000000"/>
          <w:sz w:val="22"/>
          <w:szCs w:val="22"/>
        </w:rPr>
      </w:pPr>
      <w:r>
        <w:rPr>
          <w:b/>
          <w:color w:val="000000"/>
          <w:sz w:val="22"/>
          <w:szCs w:val="22"/>
        </w:rPr>
        <w:t>Bérbeadó részéről:</w:t>
      </w:r>
      <w:r>
        <w:rPr>
          <w:color w:val="000000"/>
          <w:sz w:val="22"/>
          <w:szCs w:val="22"/>
        </w:rPr>
        <w:t xml:space="preserve"> </w:t>
      </w:r>
    </w:p>
    <w:p>
      <w:pPr>
        <w:pStyle w:val="ListParagraph"/>
        <w:widowControl/>
        <w:numPr>
          <w:ilvl w:val="0"/>
          <w:numId w:val="3"/>
        </w:numPr>
        <w:overflowPunct w:val="false"/>
        <w:ind w:hanging="142" w:start="1134"/>
        <w:rPr>
          <w:color w:val="000000"/>
          <w:sz w:val="22"/>
          <w:szCs w:val="22"/>
        </w:rPr>
      </w:pPr>
      <w:r>
        <w:rPr>
          <w:color w:val="000000"/>
          <w:sz w:val="22"/>
          <w:szCs w:val="22"/>
        </w:rPr>
        <w:t>kijelölt intézményi munkatárs neve: Bukó Linda</w:t>
      </w:r>
    </w:p>
    <w:p>
      <w:pPr>
        <w:pStyle w:val="ListParagraph"/>
        <w:widowControl/>
        <w:numPr>
          <w:ilvl w:val="0"/>
          <w:numId w:val="3"/>
        </w:numPr>
        <w:overflowPunct w:val="false"/>
        <w:ind w:hanging="142" w:start="1134"/>
        <w:rPr>
          <w:color w:val="000000"/>
          <w:sz w:val="22"/>
          <w:szCs w:val="22"/>
        </w:rPr>
      </w:pPr>
      <w:r>
        <w:rPr>
          <w:color w:val="000000"/>
          <w:sz w:val="22"/>
          <w:szCs w:val="22"/>
        </w:rPr>
        <w:t xml:space="preserve">elérhetőségei: telefonszáma: +3620/3833588 e-mail címe: gazdasagi@verespg.hu </w:t>
      </w:r>
    </w:p>
    <w:p>
      <w:pPr>
        <w:pStyle w:val="ListParagraph"/>
        <w:widowControl/>
        <w:numPr>
          <w:ilvl w:val="1"/>
          <w:numId w:val="1"/>
        </w:numPr>
        <w:tabs>
          <w:tab w:val="clear" w:pos="709"/>
          <w:tab w:val="left" w:pos="851" w:leader="none"/>
        </w:tabs>
        <w:overflowPunct w:val="false"/>
        <w:spacing w:before="120" w:after="0"/>
        <w:jc w:val="both"/>
        <w:rPr>
          <w:b/>
          <w:color w:val="000000"/>
          <w:sz w:val="22"/>
          <w:szCs w:val="22"/>
        </w:rPr>
      </w:pPr>
      <w:r>
        <w:rPr>
          <w:b/>
          <w:color w:val="000000"/>
          <w:sz w:val="22"/>
          <w:szCs w:val="22"/>
        </w:rPr>
        <w:t xml:space="preserve">Bérbeadó számlázási kapcsolattartója: </w:t>
      </w:r>
    </w:p>
    <w:p>
      <w:pPr>
        <w:pStyle w:val="ListParagraph"/>
        <w:widowControl/>
        <w:numPr>
          <w:ilvl w:val="0"/>
          <w:numId w:val="3"/>
        </w:numPr>
        <w:overflowPunct w:val="false"/>
        <w:ind w:hanging="142" w:start="1134"/>
        <w:jc w:val="both"/>
        <w:rPr>
          <w:color w:val="000000"/>
          <w:sz w:val="22"/>
          <w:szCs w:val="22"/>
        </w:rPr>
      </w:pPr>
      <w:r>
        <w:rPr>
          <w:color w:val="000000"/>
          <w:sz w:val="22"/>
          <w:szCs w:val="22"/>
        </w:rPr>
        <w:t xml:space="preserve"> </w:t>
      </w:r>
      <w:r>
        <w:rPr>
          <w:color w:val="000000"/>
          <w:sz w:val="22"/>
          <w:szCs w:val="22"/>
        </w:rPr>
        <w:t>neve: Terjék István</w:t>
      </w:r>
    </w:p>
    <w:p>
      <w:pPr>
        <w:pStyle w:val="ListParagraph"/>
        <w:widowControl/>
        <w:numPr>
          <w:ilvl w:val="0"/>
          <w:numId w:val="3"/>
        </w:numPr>
        <w:overflowPunct w:val="false"/>
        <w:ind w:hanging="142" w:start="1134"/>
        <w:jc w:val="both"/>
        <w:rPr>
          <w:color w:val="000000"/>
          <w:sz w:val="22"/>
          <w:szCs w:val="22"/>
        </w:rPr>
      </w:pPr>
      <w:r>
        <w:rPr>
          <w:color w:val="000000"/>
          <w:sz w:val="22"/>
          <w:szCs w:val="22"/>
        </w:rPr>
        <w:t xml:space="preserve"> </w:t>
      </w:r>
      <w:r>
        <w:rPr>
          <w:color w:val="000000"/>
          <w:sz w:val="22"/>
          <w:szCs w:val="22"/>
        </w:rPr>
        <w:t>elérhetőségei: telefonszáma:+361/896-0703    e-mail címe:istvan.terjek@kk.gov.hu</w:t>
      </w:r>
    </w:p>
    <w:p>
      <w:pPr>
        <w:pStyle w:val="Normal"/>
        <w:widowControl/>
        <w:numPr>
          <w:ilvl w:val="1"/>
          <w:numId w:val="1"/>
        </w:numPr>
        <w:tabs>
          <w:tab w:val="clear" w:pos="709"/>
          <w:tab w:val="left" w:pos="851" w:leader="none"/>
        </w:tabs>
        <w:overflowPunct w:val="false"/>
        <w:spacing w:before="120" w:after="0"/>
        <w:ind w:hanging="491" w:start="851"/>
        <w:jc w:val="both"/>
        <w:rPr>
          <w:color w:val="000000"/>
          <w:sz w:val="22"/>
          <w:szCs w:val="22"/>
        </w:rPr>
      </w:pPr>
      <w:r>
        <w:rPr>
          <w:b/>
          <w:color w:val="000000"/>
          <w:sz w:val="22"/>
          <w:szCs w:val="22"/>
        </w:rPr>
        <w:t>Bérlő részéről:</w:t>
      </w:r>
    </w:p>
    <w:p>
      <w:pPr>
        <w:pStyle w:val="ListParagraph"/>
        <w:widowControl/>
        <w:numPr>
          <w:ilvl w:val="0"/>
          <w:numId w:val="3"/>
        </w:numPr>
        <w:overflowPunct w:val="false"/>
        <w:ind w:hanging="142" w:start="1134"/>
        <w:jc w:val="both"/>
        <w:rPr>
          <w:color w:val="000000"/>
          <w:sz w:val="22"/>
          <w:szCs w:val="22"/>
        </w:rPr>
      </w:pPr>
      <w:r>
        <w:rPr>
          <w:color w:val="000000"/>
          <w:sz w:val="22"/>
          <w:szCs w:val="22"/>
        </w:rPr>
        <w:t>neve:……………………………………………….</w:t>
      </w:r>
    </w:p>
    <w:p>
      <w:pPr>
        <w:pStyle w:val="ListParagraph"/>
        <w:widowControl/>
        <w:numPr>
          <w:ilvl w:val="0"/>
          <w:numId w:val="3"/>
        </w:numPr>
        <w:overflowPunct w:val="false"/>
        <w:ind w:hanging="142" w:start="1134"/>
        <w:jc w:val="both"/>
        <w:rPr>
          <w:color w:val="000000"/>
          <w:sz w:val="22"/>
          <w:szCs w:val="22"/>
        </w:rPr>
      </w:pPr>
      <w:r>
        <w:rPr>
          <w:color w:val="000000"/>
          <w:sz w:val="22"/>
          <w:szCs w:val="22"/>
        </w:rPr>
        <w:t xml:space="preserve">elérhetőségei: telefonszáma: ……………………… e-mail címe: …….………………… </w:t>
      </w:r>
    </w:p>
    <w:p>
      <w:pPr>
        <w:pStyle w:val="Normal"/>
        <w:spacing w:before="120" w:after="0"/>
        <w:jc w:val="both"/>
        <w:rPr>
          <w:sz w:val="22"/>
          <w:szCs w:val="22"/>
        </w:rPr>
      </w:pPr>
      <w:r>
        <w:rPr>
          <w:sz w:val="22"/>
          <w:szCs w:val="22"/>
        </w:rPr>
      </w:r>
    </w:p>
    <w:p>
      <w:pPr>
        <w:pStyle w:val="Normal"/>
        <w:spacing w:before="120" w:after="0"/>
        <w:jc w:val="both"/>
        <w:rPr>
          <w:sz w:val="22"/>
          <w:szCs w:val="22"/>
        </w:rPr>
      </w:pPr>
      <w:r>
        <w:rPr>
          <w:sz w:val="22"/>
          <w:szCs w:val="22"/>
        </w:rPr>
        <w:t>Felek a jelen szerződést elolvasás és értelmezés után, mint akaratukkal mindenben megegyezőt, jóváhagyólag írták alá. A Szerződésből egy példány a Bérlőt, kettő példány a Bérbeadót illeti meg.</w:t>
      </w:r>
    </w:p>
    <w:p>
      <w:pPr>
        <w:pStyle w:val="Normal"/>
        <w:spacing w:before="120" w:after="0"/>
        <w:jc w:val="both"/>
        <w:rPr>
          <w:sz w:val="22"/>
          <w:szCs w:val="22"/>
        </w:rPr>
      </w:pPr>
      <w:r>
        <w:rPr>
          <w:sz w:val="22"/>
          <w:szCs w:val="22"/>
        </w:rPr>
      </w:r>
    </w:p>
    <w:p>
      <w:pPr>
        <w:pStyle w:val="Normal"/>
        <w:spacing w:before="120" w:after="0"/>
        <w:jc w:val="both"/>
        <w:rPr>
          <w:sz w:val="22"/>
          <w:szCs w:val="22"/>
        </w:rPr>
      </w:pPr>
      <w:r>
        <w:rPr>
          <w:sz w:val="22"/>
          <w:szCs w:val="22"/>
        </w:rPr>
        <w:t>Budapest, 2026…………………………………</w:t>
        <w:tab/>
        <w:tab/>
        <w:t>Budapest, 2026………….…………………</w:t>
      </w:r>
    </w:p>
    <w:p>
      <w:pPr>
        <w:pStyle w:val="Normal"/>
        <w:tabs>
          <w:tab w:val="clear" w:pos="709"/>
          <w:tab w:val="center" w:pos="1985" w:leader="none"/>
          <w:tab w:val="center" w:pos="7088" w:leader="none"/>
        </w:tabs>
        <w:spacing w:lineRule="auto" w:line="360"/>
        <w:jc w:val="both"/>
        <w:rPr>
          <w:sz w:val="22"/>
          <w:szCs w:val="22"/>
        </w:rPr>
      </w:pPr>
      <w:r>
        <w:rPr>
          <w:sz w:val="22"/>
          <w:szCs w:val="22"/>
        </w:rPr>
      </w:r>
    </w:p>
    <w:p>
      <w:pPr>
        <w:pStyle w:val="Normal"/>
        <w:tabs>
          <w:tab w:val="clear" w:pos="709"/>
          <w:tab w:val="center" w:pos="1985" w:leader="none"/>
          <w:tab w:val="center" w:pos="7088" w:leader="none"/>
        </w:tabs>
        <w:spacing w:lineRule="auto" w:line="360"/>
        <w:jc w:val="both"/>
        <w:rPr>
          <w:sz w:val="22"/>
          <w:szCs w:val="22"/>
        </w:rPr>
      </w:pPr>
      <w:r>
        <w:rPr>
          <w:sz w:val="22"/>
          <w:szCs w:val="22"/>
        </w:rPr>
      </w:r>
    </w:p>
    <w:p>
      <w:pPr>
        <w:pStyle w:val="Normal"/>
        <w:tabs>
          <w:tab w:val="clear" w:pos="709"/>
          <w:tab w:val="center" w:pos="1985" w:leader="none"/>
          <w:tab w:val="center" w:pos="7088" w:leader="none"/>
        </w:tabs>
        <w:jc w:val="both"/>
        <w:rPr>
          <w:sz w:val="22"/>
          <w:szCs w:val="22"/>
        </w:rPr>
      </w:pPr>
      <w:r>
        <w:rPr>
          <w:sz w:val="22"/>
          <w:szCs w:val="22"/>
        </w:rPr>
      </w:r>
    </w:p>
    <w:tbl>
      <w:tblPr>
        <w:tblStyle w:val="Rcsostblzat"/>
        <w:tblW w:w="10298" w:type="dxa"/>
        <w:jc w:val="start"/>
        <w:tblInd w:w="-851" w:type="dxa"/>
        <w:tblLayout w:type="fixed"/>
        <w:tblCellMar>
          <w:top w:w="0" w:type="dxa"/>
          <w:start w:w="108" w:type="dxa"/>
          <w:bottom w:w="0" w:type="dxa"/>
          <w:end w:w="108" w:type="dxa"/>
        </w:tblCellMar>
        <w:tblLook w:val="04a0" w:firstRow="1" w:noVBand="1" w:lastRow="0" w:firstColumn="1" w:lastColumn="0" w:noHBand="0"/>
      </w:tblPr>
      <w:tblGrid>
        <w:gridCol w:w="5495"/>
        <w:gridCol w:w="237"/>
        <w:gridCol w:w="4566"/>
      </w:tblGrid>
      <w:tr>
        <w:trPr/>
        <w:tc>
          <w:tcPr>
            <w:tcW w:w="5495" w:type="dxa"/>
            <w:tcBorders>
              <w:start w:val="nil"/>
              <w:bottom w:val="nil"/>
              <w:end w:val="nil"/>
            </w:tcBorders>
          </w:tcPr>
          <w:p>
            <w:pPr>
              <w:pStyle w:val="ListParagraph"/>
              <w:tabs>
                <w:tab w:val="clear" w:pos="709"/>
                <w:tab w:val="center" w:pos="1985" w:leader="none"/>
                <w:tab w:val="center" w:pos="7088" w:leader="none"/>
              </w:tabs>
              <w:spacing w:before="0" w:after="0"/>
              <w:ind w:start="34"/>
              <w:jc w:val="center"/>
              <w:rPr>
                <w:b/>
                <w:sz w:val="22"/>
                <w:szCs w:val="22"/>
              </w:rPr>
            </w:pPr>
            <w:r>
              <w:rPr>
                <w:rFonts w:eastAsia="Times New Roman" w:cs="Times New Roman"/>
                <w:b/>
                <w:sz w:val="22"/>
                <w:szCs w:val="22"/>
                <w:lang w:val="hu-HU" w:eastAsia="hu-HU" w:bidi="ar-SA"/>
              </w:rPr>
              <w:t xml:space="preserve">Bérlő </w:t>
            </w:r>
          </w:p>
          <w:p>
            <w:pPr>
              <w:pStyle w:val="ListParagraph"/>
              <w:tabs>
                <w:tab w:val="clear" w:pos="709"/>
                <w:tab w:val="center" w:pos="1985" w:leader="none"/>
                <w:tab w:val="center" w:pos="7088" w:leader="none"/>
              </w:tabs>
              <w:spacing w:before="0" w:after="0"/>
              <w:ind w:start="34"/>
              <w:jc w:val="center"/>
              <w:rPr>
                <w:sz w:val="22"/>
                <w:szCs w:val="22"/>
              </w:rPr>
            </w:pPr>
            <w:r>
              <w:rPr>
                <w:rFonts w:eastAsia="Times New Roman" w:cs="Times New Roman"/>
                <w:sz w:val="22"/>
                <w:szCs w:val="22"/>
                <w:lang w:val="hu-HU" w:eastAsia="hu-HU" w:bidi="ar-SA"/>
              </w:rPr>
              <w:t xml:space="preserve">képviseli: </w:t>
            </w:r>
          </w:p>
        </w:tc>
        <w:tc>
          <w:tcPr>
            <w:tcW w:w="237" w:type="dxa"/>
            <w:tcBorders>
              <w:top w:val="nil"/>
              <w:start w:val="nil"/>
              <w:bottom w:val="nil"/>
              <w:end w:val="nil"/>
            </w:tcBorders>
          </w:tcPr>
          <w:p>
            <w:pPr>
              <w:pStyle w:val="ListParagraph"/>
              <w:tabs>
                <w:tab w:val="clear" w:pos="709"/>
                <w:tab w:val="center" w:pos="1985" w:leader="none"/>
                <w:tab w:val="center" w:pos="7088" w:leader="none"/>
              </w:tabs>
              <w:spacing w:before="0" w:after="0"/>
              <w:ind w:start="0"/>
              <w:jc w:val="both"/>
              <w:rPr>
                <w:sz w:val="22"/>
                <w:szCs w:val="22"/>
              </w:rPr>
            </w:pPr>
            <w:r>
              <w:rPr>
                <w:rFonts w:eastAsia="Times New Roman" w:cs="Times New Roman"/>
                <w:sz w:val="22"/>
                <w:szCs w:val="22"/>
                <w:lang w:val="hu-HU" w:eastAsia="hu-HU" w:bidi="ar-SA"/>
              </w:rPr>
            </w:r>
          </w:p>
        </w:tc>
        <w:tc>
          <w:tcPr>
            <w:tcW w:w="4566" w:type="dxa"/>
            <w:tcBorders>
              <w:start w:val="nil"/>
              <w:bottom w:val="nil"/>
              <w:end w:val="nil"/>
            </w:tcBorders>
          </w:tcPr>
          <w:p>
            <w:pPr>
              <w:pStyle w:val="ListParagraph"/>
              <w:tabs>
                <w:tab w:val="clear" w:pos="709"/>
                <w:tab w:val="center" w:pos="1985" w:leader="none"/>
                <w:tab w:val="center" w:pos="7088" w:leader="none"/>
              </w:tabs>
              <w:spacing w:before="0" w:after="0"/>
              <w:ind w:start="0"/>
              <w:jc w:val="center"/>
              <w:rPr>
                <w:b/>
                <w:sz w:val="22"/>
                <w:szCs w:val="22"/>
              </w:rPr>
            </w:pPr>
            <w:r>
              <w:rPr>
                <w:rFonts w:eastAsia="Times New Roman" w:cs="Times New Roman"/>
                <w:b/>
                <w:sz w:val="22"/>
                <w:szCs w:val="22"/>
                <w:lang w:val="hu-HU" w:eastAsia="hu-HU" w:bidi="ar-SA"/>
              </w:rPr>
              <w:t>Észak-Budapesti Tankerületi Központ</w:t>
            </w:r>
          </w:p>
          <w:p>
            <w:pPr>
              <w:pStyle w:val="ListParagraph"/>
              <w:tabs>
                <w:tab w:val="clear" w:pos="709"/>
                <w:tab w:val="center" w:pos="1985" w:leader="none"/>
                <w:tab w:val="center" w:pos="7088" w:leader="none"/>
              </w:tabs>
              <w:spacing w:before="0" w:after="0"/>
              <w:ind w:start="0"/>
              <w:jc w:val="center"/>
              <w:rPr>
                <w:sz w:val="22"/>
                <w:szCs w:val="22"/>
              </w:rPr>
            </w:pPr>
            <w:r>
              <w:rPr>
                <w:rFonts w:eastAsia="Times New Roman" w:cs="Times New Roman"/>
                <w:sz w:val="22"/>
                <w:szCs w:val="22"/>
                <w:lang w:val="hu-HU" w:eastAsia="hu-HU" w:bidi="ar-SA"/>
              </w:rPr>
              <w:t>Bérbeadó</w:t>
            </w:r>
          </w:p>
          <w:p>
            <w:pPr>
              <w:pStyle w:val="ListParagraph"/>
              <w:tabs>
                <w:tab w:val="clear" w:pos="709"/>
                <w:tab w:val="center" w:pos="1985" w:leader="none"/>
                <w:tab w:val="center" w:pos="7088" w:leader="none"/>
              </w:tabs>
              <w:spacing w:before="0" w:after="0"/>
              <w:ind w:start="0"/>
              <w:jc w:val="center"/>
              <w:rPr>
                <w:sz w:val="22"/>
                <w:szCs w:val="22"/>
              </w:rPr>
            </w:pPr>
            <w:r>
              <w:rPr>
                <w:rFonts w:eastAsia="Times New Roman" w:cs="Times New Roman"/>
                <w:sz w:val="22"/>
                <w:szCs w:val="22"/>
                <w:lang w:val="hu-HU" w:eastAsia="hu-HU" w:bidi="ar-SA"/>
              </w:rPr>
              <w:t>képviseli: Tamás Ilona tankerületi igazgató</w:t>
            </w:r>
          </w:p>
        </w:tc>
      </w:tr>
    </w:tbl>
    <w:p>
      <w:pPr>
        <w:pStyle w:val="Normal"/>
        <w:tabs>
          <w:tab w:val="clear" w:pos="709"/>
          <w:tab w:val="left" w:pos="7088" w:leader="none"/>
        </w:tabs>
        <w:spacing w:before="120" w:after="0"/>
        <w:jc w:val="both"/>
        <w:rPr>
          <w:sz w:val="22"/>
          <w:szCs w:val="22"/>
        </w:rPr>
      </w:pPr>
      <w:r>
        <w:rPr>
          <w:sz w:val="22"/>
          <w:szCs w:val="22"/>
        </w:rPr>
      </w:r>
    </w:p>
    <w:p>
      <w:pPr>
        <w:pStyle w:val="Normal"/>
        <w:tabs>
          <w:tab w:val="clear" w:pos="709"/>
          <w:tab w:val="left" w:pos="7088" w:leader="none"/>
        </w:tabs>
        <w:spacing w:before="120" w:after="0"/>
        <w:jc w:val="both"/>
        <w:rPr>
          <w:sz w:val="22"/>
          <w:szCs w:val="22"/>
        </w:rPr>
      </w:pPr>
      <w:r>
        <w:rPr>
          <w:sz w:val="22"/>
          <w:szCs w:val="22"/>
        </w:rPr>
        <w:t>A Nemzeti Köznevelésről szóló 2011. évi CXC törvény. 74. § (4) bekezdésében írtak alapján a Bérleti szerződés megkötését támogatom:</w:t>
      </w:r>
    </w:p>
    <w:p>
      <w:pPr>
        <w:pStyle w:val="Normal"/>
        <w:tabs>
          <w:tab w:val="clear" w:pos="709"/>
          <w:tab w:val="center" w:pos="1985" w:leader="none"/>
          <w:tab w:val="center" w:pos="7088" w:leader="none"/>
        </w:tabs>
        <w:spacing w:before="120" w:after="0"/>
        <w:jc w:val="center"/>
        <w:rPr>
          <w:sz w:val="22"/>
          <w:szCs w:val="22"/>
        </w:rPr>
      </w:pPr>
      <w:r>
        <w:rPr>
          <w:sz w:val="22"/>
          <w:szCs w:val="22"/>
        </w:rPr>
        <w:t>p.h.</w:t>
      </w:r>
    </w:p>
    <w:p>
      <w:pPr>
        <w:pStyle w:val="Normal"/>
        <w:tabs>
          <w:tab w:val="clear" w:pos="709"/>
          <w:tab w:val="center" w:pos="1985" w:leader="none"/>
          <w:tab w:val="center" w:pos="7088" w:leader="none"/>
        </w:tabs>
        <w:spacing w:before="120" w:after="0"/>
        <w:jc w:val="center"/>
        <w:rPr>
          <w:sz w:val="22"/>
          <w:szCs w:val="22"/>
        </w:rPr>
      </w:pPr>
      <w:r>
        <w:rPr>
          <w:sz w:val="22"/>
          <w:szCs w:val="22"/>
        </w:rPr>
        <w:t xml:space="preserve"> </w:t>
      </w:r>
    </w:p>
    <w:p>
      <w:pPr>
        <w:pStyle w:val="Normal"/>
        <w:tabs>
          <w:tab w:val="clear" w:pos="709"/>
          <w:tab w:val="center" w:pos="1985" w:leader="none"/>
          <w:tab w:val="center" w:pos="7088" w:leader="none"/>
        </w:tabs>
        <w:spacing w:before="120" w:after="0"/>
        <w:jc w:val="center"/>
        <w:rPr>
          <w:sz w:val="22"/>
          <w:szCs w:val="22"/>
        </w:rPr>
      </w:pPr>
      <w:r>
        <w:rPr>
          <w:sz w:val="22"/>
          <w:szCs w:val="22"/>
        </w:rPr>
        <w:t>________________________________</w:t>
      </w:r>
    </w:p>
    <w:p>
      <w:pPr>
        <w:pStyle w:val="Normal"/>
        <w:tabs>
          <w:tab w:val="clear" w:pos="709"/>
          <w:tab w:val="center" w:pos="1985" w:leader="none"/>
          <w:tab w:val="center" w:pos="7088" w:leader="none"/>
        </w:tabs>
        <w:jc w:val="center"/>
        <w:rPr>
          <w:b/>
          <w:color w:val="000000"/>
          <w:sz w:val="22"/>
          <w:szCs w:val="22"/>
        </w:rPr>
      </w:pPr>
      <w:r>
        <w:rPr>
          <w:b/>
          <w:color w:val="000000"/>
          <w:sz w:val="22"/>
          <w:szCs w:val="22"/>
        </w:rPr>
        <w:t>Békásmegyeri Veres Péter Gimnázium</w:t>
      </w:r>
    </w:p>
    <w:p>
      <w:pPr>
        <w:pStyle w:val="Normal"/>
        <w:tabs>
          <w:tab w:val="clear" w:pos="709"/>
          <w:tab w:val="center" w:pos="1985" w:leader="none"/>
          <w:tab w:val="center" w:pos="7088" w:leader="none"/>
        </w:tabs>
        <w:jc w:val="center"/>
        <w:rPr>
          <w:sz w:val="22"/>
          <w:szCs w:val="22"/>
        </w:rPr>
      </w:pPr>
      <w:r>
        <w:rPr>
          <w:sz w:val="22"/>
          <w:szCs w:val="22"/>
        </w:rPr>
        <w:t>Rakovszky Andorás igazgató</w:t>
      </w:r>
    </w:p>
    <w:p>
      <w:pPr>
        <w:pStyle w:val="Normal"/>
        <w:tabs>
          <w:tab w:val="clear" w:pos="709"/>
          <w:tab w:val="center" w:pos="1985" w:leader="none"/>
          <w:tab w:val="center" w:pos="7088" w:leader="none"/>
        </w:tabs>
        <w:rPr>
          <w:sz w:val="22"/>
          <w:szCs w:val="22"/>
        </w:rPr>
      </w:pPr>
      <w:r>
        <w:rPr>
          <w:sz w:val="22"/>
          <w:szCs w:val="22"/>
        </w:rPr>
      </w:r>
    </w:p>
    <w:p>
      <w:pPr>
        <w:pStyle w:val="Normal"/>
        <w:tabs>
          <w:tab w:val="clear" w:pos="709"/>
          <w:tab w:val="center" w:pos="1985" w:leader="none"/>
          <w:tab w:val="center" w:pos="7088" w:leader="none"/>
        </w:tabs>
        <w:rPr>
          <w:sz w:val="22"/>
          <w:szCs w:val="22"/>
        </w:rPr>
      </w:pPr>
      <w:r>
        <w:rPr>
          <w:sz w:val="22"/>
          <w:szCs w:val="22"/>
        </w:rPr>
        <w:t>_________________________</w:t>
        <w:tab/>
        <w:tab/>
      </w:r>
    </w:p>
    <w:p>
      <w:pPr>
        <w:pStyle w:val="Normal"/>
        <w:tabs>
          <w:tab w:val="clear" w:pos="709"/>
          <w:tab w:val="center" w:pos="1985" w:leader="none"/>
          <w:tab w:val="center" w:pos="7088" w:leader="none"/>
        </w:tabs>
        <w:rPr>
          <w:sz w:val="22"/>
          <w:szCs w:val="22"/>
        </w:rPr>
      </w:pPr>
      <w:r>
        <w:rPr>
          <w:sz w:val="22"/>
          <w:szCs w:val="22"/>
        </w:rPr>
        <w:t>jogi ellenjegyzés, Bérbeadó</w:t>
      </w:r>
    </w:p>
    <w:p>
      <w:pPr>
        <w:pStyle w:val="Normal"/>
        <w:tabs>
          <w:tab w:val="clear" w:pos="709"/>
          <w:tab w:val="left" w:pos="7088" w:leader="none"/>
        </w:tabs>
        <w:spacing w:before="120" w:after="0"/>
        <w:jc w:val="both"/>
        <w:rPr>
          <w:b/>
          <w:sz w:val="22"/>
          <w:szCs w:val="22"/>
        </w:rPr>
      </w:pPr>
      <w:r>
        <w:rPr>
          <w:b/>
          <w:sz w:val="22"/>
          <w:szCs w:val="22"/>
        </w:rPr>
      </w:r>
    </w:p>
    <w:p>
      <w:pPr>
        <w:pStyle w:val="Normal"/>
        <w:tabs>
          <w:tab w:val="clear" w:pos="709"/>
          <w:tab w:val="left" w:pos="7088" w:leader="none"/>
        </w:tabs>
        <w:spacing w:before="120" w:after="0"/>
        <w:jc w:val="both"/>
        <w:rPr>
          <w:b/>
          <w:sz w:val="22"/>
          <w:szCs w:val="22"/>
        </w:rPr>
      </w:pPr>
      <w:r>
        <w:rPr>
          <w:b/>
          <w:sz w:val="22"/>
          <w:szCs w:val="22"/>
        </w:rPr>
        <w:t>Mellékletek:</w:t>
        <w:tab/>
      </w:r>
    </w:p>
    <w:p>
      <w:pPr>
        <w:pStyle w:val="ListParagraph"/>
        <w:numPr>
          <w:ilvl w:val="0"/>
          <w:numId w:val="2"/>
        </w:numPr>
        <w:tabs>
          <w:tab w:val="clear" w:pos="709"/>
          <w:tab w:val="center" w:pos="1985" w:leader="none"/>
          <w:tab w:val="center" w:pos="7088" w:leader="none"/>
        </w:tabs>
        <w:ind w:hanging="357" w:start="714"/>
        <w:jc w:val="both"/>
        <w:rPr>
          <w:sz w:val="22"/>
          <w:szCs w:val="22"/>
        </w:rPr>
      </w:pPr>
      <w:r>
        <w:rPr>
          <w:sz w:val="22"/>
          <w:szCs w:val="22"/>
        </w:rPr>
        <w:t>Általános Szerződési Feltételek (csak bérlő példányán)</w:t>
      </w:r>
    </w:p>
    <w:p>
      <w:pPr>
        <w:pStyle w:val="ListParagraph"/>
        <w:numPr>
          <w:ilvl w:val="0"/>
          <w:numId w:val="2"/>
        </w:numPr>
        <w:tabs>
          <w:tab w:val="clear" w:pos="709"/>
          <w:tab w:val="center" w:pos="1985" w:leader="none"/>
          <w:tab w:val="center" w:pos="7088" w:leader="none"/>
        </w:tabs>
        <w:jc w:val="both"/>
        <w:rPr>
          <w:color w:val="000000"/>
          <w:sz w:val="22"/>
          <w:szCs w:val="22"/>
        </w:rPr>
      </w:pPr>
      <w:r>
        <w:rPr>
          <w:color w:val="000000"/>
          <w:sz w:val="22"/>
          <w:szCs w:val="22"/>
        </w:rPr>
        <w:t>forgalmazott termékek köre</w:t>
      </w:r>
    </w:p>
    <w:p>
      <w:pPr>
        <w:pStyle w:val="ListParagraph"/>
        <w:numPr>
          <w:ilvl w:val="0"/>
          <w:numId w:val="2"/>
        </w:numPr>
        <w:tabs>
          <w:tab w:val="clear" w:pos="709"/>
          <w:tab w:val="center" w:pos="1985" w:leader="none"/>
          <w:tab w:val="center" w:pos="7088" w:leader="none"/>
        </w:tabs>
        <w:jc w:val="both"/>
        <w:rPr>
          <w:color w:val="000000"/>
          <w:sz w:val="22"/>
          <w:szCs w:val="22"/>
        </w:rPr>
      </w:pPr>
      <w:r>
        <w:rPr>
          <w:color w:val="000000"/>
          <w:sz w:val="22"/>
          <w:szCs w:val="22"/>
        </w:rPr>
        <w:t>Iskolai-egészségügyi szolgálat állásfoglalása forgalmazott termékekről</w:t>
      </w:r>
    </w:p>
    <w:p>
      <w:pPr>
        <w:pStyle w:val="ListParagraph"/>
        <w:numPr>
          <w:ilvl w:val="0"/>
          <w:numId w:val="2"/>
        </w:numPr>
        <w:tabs>
          <w:tab w:val="clear" w:pos="709"/>
          <w:tab w:val="center" w:pos="1985" w:leader="none"/>
          <w:tab w:val="center" w:pos="7088" w:leader="none"/>
        </w:tabs>
        <w:jc w:val="both"/>
        <w:rPr>
          <w:color w:val="000000"/>
          <w:sz w:val="22"/>
          <w:szCs w:val="22"/>
        </w:rPr>
      </w:pPr>
      <w:r>
        <w:rPr>
          <w:color w:val="000000"/>
          <w:sz w:val="22"/>
          <w:szCs w:val="22"/>
        </w:rPr>
        <w:t>Élelmiszer-árusító üzlet nyitvatartási rendje</w:t>
      </w:r>
    </w:p>
    <w:p>
      <w:pPr>
        <w:pStyle w:val="ListParagraph"/>
        <w:numPr>
          <w:ilvl w:val="0"/>
          <w:numId w:val="2"/>
        </w:numPr>
        <w:tabs>
          <w:tab w:val="clear" w:pos="709"/>
          <w:tab w:val="center" w:pos="1985" w:leader="none"/>
          <w:tab w:val="center" w:pos="7088" w:leader="none"/>
        </w:tabs>
        <w:jc w:val="both"/>
        <w:rPr>
          <w:color w:val="000000"/>
          <w:sz w:val="22"/>
          <w:szCs w:val="22"/>
        </w:rPr>
      </w:pPr>
      <w:r>
        <w:rPr>
          <w:color w:val="000000"/>
          <w:sz w:val="22"/>
          <w:szCs w:val="22"/>
        </w:rPr>
        <w:t>Szülői szervezet és diákönkormányzat egyetértése a nyitva tartásról</w:t>
      </w:r>
    </w:p>
    <w:p>
      <w:pPr>
        <w:pStyle w:val="Normal"/>
        <w:rPr>
          <w:b/>
          <w:sz w:val="22"/>
          <w:szCs w:val="22"/>
        </w:rPr>
      </w:pPr>
      <w:r>
        <w:rPr>
          <w:b/>
          <w:sz w:val="22"/>
          <w:szCs w:val="22"/>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531" w:right="1418" w:gutter="0" w:header="709" w:top="766" w:footer="709" w:bottom="766"/>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swiss"/>
    <w:pitch w:val="variable"/>
  </w:font>
  <w:font w:name="Times New Roman">
    <w:charset w:val="ee" w:characterSet="windows-1250"/>
    <w:family w:val="roman"/>
    <w:pitch w:val="variable"/>
  </w:font>
  <w:font w:name="Cambria">
    <w:charset w:val="ee" w:characterSet="windows-1250"/>
    <w:family w:val="roman"/>
    <w:pitch w:val="variable"/>
  </w:font>
  <w:font w:name="Liberation Sans">
    <w:altName w:val="Arial"/>
    <w:charset w:val="ee" w:characterSet="windows-1250"/>
    <w:family w:val="swiss"/>
    <w:pitch w:val="variable"/>
  </w:font>
  <w:font w:name="Calibri">
    <w:charset w:val="ee" w:characterSet="windows-125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1" w:color="000000"/>
      </w:pBdr>
      <w:tabs>
        <w:tab w:val="clear" w:pos="709"/>
        <w:tab w:val="center" w:pos="4536" w:leader="none"/>
        <w:tab w:val="right" w:pos="9072" w:leader="none"/>
      </w:tabs>
      <w:jc w:val="end"/>
      <w:rPr>
        <w:kern w:val="0"/>
      </w:rPr>
    </w:pPr>
    <w:r>
      <w:rPr>
        <w:kern w:val="0"/>
      </w:rPr>
      <w:fldChar w:fldCharType="begin"/>
    </w:r>
    <w:r>
      <w:rPr>
        <w:kern w:val="0"/>
      </w:rPr>
      <w:instrText xml:space="preserve"> NUMPAGES </w:instrText>
    </w:r>
    <w:r>
      <w:rPr>
        <w:kern w:val="0"/>
      </w:rPr>
      <w:fldChar w:fldCharType="separate"/>
    </w:r>
    <w:r>
      <w:rPr>
        <w:kern w:val="0"/>
      </w:rPr>
      <w:t>3</w:t>
    </w:r>
    <w:r>
      <w:rPr>
        <w:kern w:val="0"/>
      </w:rPr>
      <w:fldChar w:fldCharType="end"/>
    </w:r>
    <w:r>
      <w:rPr>
        <w:kern w:val="0"/>
      </w:rPr>
      <w:t>/</w:t>
    </w:r>
    <w:r>
      <w:rPr>
        <w:kern w:val="0"/>
      </w:rPr>
      <w:fldChar w:fldCharType="begin"/>
    </w:r>
    <w:r>
      <w:rPr>
        <w:kern w:val="0"/>
      </w:rPr>
      <w:instrText xml:space="preserve"> PAGE </w:instrText>
    </w:r>
    <w:r>
      <w:rPr>
        <w:kern w:val="0"/>
      </w:rPr>
      <w:fldChar w:fldCharType="separate"/>
    </w:r>
    <w:r>
      <w:rPr>
        <w:kern w:val="0"/>
      </w:rPr>
      <w:t>3</w:t>
    </w:r>
    <w:r>
      <w:rPr>
        <w:kern w:val="0"/>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1" w:color="000000"/>
      </w:pBdr>
      <w:tabs>
        <w:tab w:val="clear" w:pos="709"/>
        <w:tab w:val="center" w:pos="4536" w:leader="none"/>
        <w:tab w:val="right" w:pos="9072" w:leader="none"/>
      </w:tabs>
      <w:jc w:val="end"/>
      <w:rPr>
        <w:kern w:val="0"/>
      </w:rPr>
    </w:pPr>
    <w:r>
      <w:rPr>
        <w:kern w:val="0"/>
      </w:rPr>
      <w:fldChar w:fldCharType="begin"/>
    </w:r>
    <w:r>
      <w:rPr>
        <w:kern w:val="0"/>
      </w:rPr>
      <w:instrText xml:space="preserve"> NUMPAGES </w:instrText>
    </w:r>
    <w:r>
      <w:rPr>
        <w:kern w:val="0"/>
      </w:rPr>
      <w:fldChar w:fldCharType="separate"/>
    </w:r>
    <w:r>
      <w:rPr>
        <w:kern w:val="0"/>
      </w:rPr>
      <w:t>3</w:t>
    </w:r>
    <w:r>
      <w:rPr>
        <w:kern w:val="0"/>
      </w:rPr>
      <w:fldChar w:fldCharType="end"/>
    </w:r>
    <w:r>
      <w:rPr>
        <w:kern w:val="0"/>
      </w:rPr>
      <w:t>/</w:t>
    </w:r>
    <w:r>
      <w:rPr>
        <w:kern w:val="0"/>
      </w:rPr>
      <w:fldChar w:fldCharType="begin"/>
    </w:r>
    <w:r>
      <w:rPr>
        <w:kern w:val="0"/>
      </w:rPr>
      <w:instrText xml:space="preserve"> PAGE </w:instrText>
    </w:r>
    <w:r>
      <w:rPr>
        <w:kern w:val="0"/>
      </w:rPr>
      <w:fldChar w:fldCharType="separate"/>
    </w:r>
    <w:r>
      <w:rPr>
        <w:kern w:val="0"/>
      </w:rPr>
      <w:t>3</w:t>
    </w:r>
    <w:r>
      <w:rPr>
        <w:kern w:val="0"/>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center" w:pos="4536" w:leader="none"/>
        <w:tab w:val="right" w:pos="9072" w:leader="none"/>
      </w:tabs>
      <w:rPr>
        <w:kern w:val="0"/>
      </w:rPr>
    </w:pPr>
    <w:r>
      <w:rPr>
        <w:kern w:val="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center" w:pos="4536" w:leader="none"/>
        <w:tab w:val="right" w:pos="9072" w:leader="none"/>
      </w:tabs>
      <w:rPr>
        <w:kern w:val="0"/>
      </w:rPr>
    </w:pPr>
    <w:r>
      <w:rPr>
        <w:kern w:val="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360"/>
        </w:tabs>
        <w:ind w:start="360" w:hanging="360"/>
      </w:pPr>
      <w:rPr>
        <w:b/>
        <w:bCs/>
      </w:rPr>
    </w:lvl>
    <w:lvl w:ilvl="1">
      <w:start w:val="1"/>
      <w:numFmt w:val="decimal"/>
      <w:lvlText w:val="%1.%2."/>
      <w:lvlJc w:val="start"/>
      <w:pPr>
        <w:tabs>
          <w:tab w:val="num" w:pos="858"/>
        </w:tabs>
        <w:ind w:start="858" w:hanging="432"/>
      </w:pPr>
      <w:rPr>
        <w:b w:val="false"/>
        <w:bCs w:val="false"/>
      </w:rPr>
    </w:lvl>
    <w:lvl w:ilvl="2">
      <w:start w:val="1"/>
      <w:numFmt w:val="decimal"/>
      <w:lvlText w:val="%1.%2.%3."/>
      <w:lvlJc w:val="start"/>
      <w:pPr>
        <w:tabs>
          <w:tab w:val="num" w:pos="1571"/>
        </w:tabs>
        <w:ind w:start="1355" w:hanging="504"/>
      </w:pPr>
      <w:rPr>
        <w:b w:val="false"/>
        <w:bCs w:val="false"/>
      </w:rPr>
    </w:lvl>
    <w:lvl w:ilvl="3">
      <w:start w:val="1"/>
      <w:numFmt w:val="decimal"/>
      <w:lvlText w:val="%1.%2.%3.%4."/>
      <w:lvlJc w:val="start"/>
      <w:pPr>
        <w:tabs>
          <w:tab w:val="num" w:pos="2160"/>
        </w:tabs>
        <w:ind w:start="1728" w:hanging="648"/>
      </w:pPr>
      <w:rPr/>
    </w:lvl>
    <w:lvl w:ilvl="4">
      <w:start w:val="1"/>
      <w:numFmt w:val="decimal"/>
      <w:lvlText w:val="%1.%2.%3.%4.%5."/>
      <w:lvlJc w:val="start"/>
      <w:pPr>
        <w:tabs>
          <w:tab w:val="num" w:pos="2520"/>
        </w:tabs>
        <w:ind w:start="2232" w:hanging="792"/>
      </w:pPr>
      <w:rPr/>
    </w:lvl>
    <w:lvl w:ilvl="5">
      <w:start w:val="1"/>
      <w:numFmt w:val="decimal"/>
      <w:lvlText w:val="%1.%2.%3.%4.%5.%6."/>
      <w:lvlJc w:val="start"/>
      <w:pPr>
        <w:tabs>
          <w:tab w:val="num" w:pos="3240"/>
        </w:tabs>
        <w:ind w:start="2736" w:hanging="936"/>
      </w:pPr>
      <w:rPr/>
    </w:lvl>
    <w:lvl w:ilvl="6">
      <w:start w:val="1"/>
      <w:numFmt w:val="decimal"/>
      <w:lvlText w:val="%1.%2.%3.%4.%5.%6.%7."/>
      <w:lvlJc w:val="start"/>
      <w:pPr>
        <w:tabs>
          <w:tab w:val="num" w:pos="3600"/>
        </w:tabs>
        <w:ind w:start="3240" w:hanging="1080"/>
      </w:pPr>
      <w:rPr/>
    </w:lvl>
    <w:lvl w:ilvl="7">
      <w:start w:val="1"/>
      <w:numFmt w:val="decimal"/>
      <w:lvlText w:val="%1.%2.%3.%4.%5.%6.%7.%8."/>
      <w:lvlJc w:val="start"/>
      <w:pPr>
        <w:tabs>
          <w:tab w:val="num" w:pos="4320"/>
        </w:tabs>
        <w:ind w:start="3744" w:hanging="1224"/>
      </w:pPr>
      <w:rPr/>
    </w:lvl>
    <w:lvl w:ilvl="8">
      <w:start w:val="1"/>
      <w:numFmt w:val="decimal"/>
      <w:lvlText w:val="%1.%2.%3.%4.%5.%6.%7.%8.%9."/>
      <w:lvlJc w:val="start"/>
      <w:pPr>
        <w:tabs>
          <w:tab w:val="num" w:pos="4680"/>
        </w:tabs>
        <w:ind w:start="4320" w:hanging="1440"/>
      </w:pPr>
      <w:rPr/>
    </w:lvl>
  </w:abstractNum>
  <w:abstractNum w:abstractNumId="2">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
      <w:numFmt w:val="bullet"/>
      <w:lvlText w:val="˗"/>
      <w:lvlJc w:val="start"/>
      <w:pPr>
        <w:tabs>
          <w:tab w:val="num" w:pos="0"/>
        </w:tabs>
        <w:ind w:start="720" w:hanging="360"/>
      </w:pPr>
      <w:rPr>
        <w:rFonts w:ascii="Courier New" w:hAnsi="Courier New" w:cs="Courier New"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50"/>
  <w:embedSystemFonts/>
  <w:gutterAtTop/>
  <w:defaultTabStop w:val="709"/>
  <w:autoHyphenation w:val="true"/>
  <w:hyphenationZone w:val="425"/>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themeFontLang w:val="hu-H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hu-HU" w:eastAsia="hu-HU" w:bidi="ar-SA"/>
      </w:rPr>
    </w:rPrDefault>
    <w:pPrDefault>
      <w:pPr>
        <w:suppressAutoHyphens w:val="true"/>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semiHidden="1" w:unhideWhenUsed="1" w:qFormat="1"/>
    <w:lsdException w:name="heading 3" w:lock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e43a5"/>
    <w:pPr>
      <w:widowControl w:val="false"/>
      <w:suppressAutoHyphens w:val="true"/>
      <w:overflowPunct w:val="true"/>
      <w:bidi w:val="0"/>
      <w:spacing w:before="0" w:after="0"/>
      <w:jc w:val="start"/>
    </w:pPr>
    <w:rPr>
      <w:rFonts w:ascii="Times New Roman" w:hAnsi="Times New Roman" w:eastAsia="Times New Roman" w:cs="Times New Roman"/>
      <w:color w:val="auto"/>
      <w:kern w:val="2"/>
      <w:sz w:val="20"/>
      <w:szCs w:val="20"/>
      <w:lang w:val="hu-HU" w:eastAsia="hu-HU" w:bidi="ar-SA"/>
    </w:rPr>
  </w:style>
  <w:style w:type="paragraph" w:styleId="Heading1">
    <w:name w:val="heading 1"/>
    <w:basedOn w:val="Normal"/>
    <w:next w:val="Normal"/>
    <w:link w:val="Cmsor1Char"/>
    <w:qFormat/>
    <w:locked/>
    <w:rsid w:val="00f0724e"/>
    <w:pPr>
      <w:keepNext w:val="true"/>
      <w:keepLines/>
      <w:spacing w:before="480" w:after="0"/>
      <w:outlineLvl w:val="0"/>
    </w:pPr>
    <w:rPr>
      <w:rFonts w:ascii="Cambria" w:hAnsi="Cambria"/>
      <w:b/>
      <w:bCs/>
      <w:color w:val="365F91"/>
      <w:sz w:val="28"/>
      <w:szCs w:val="28"/>
    </w:rPr>
  </w:style>
  <w:style w:type="paragraph" w:styleId="Heading3">
    <w:name w:val="heading 3"/>
    <w:basedOn w:val="Normal"/>
    <w:next w:val="Normal"/>
    <w:link w:val="Cmsor3Char"/>
    <w:uiPriority w:val="99"/>
    <w:qFormat/>
    <w:rsid w:val="004d683e"/>
    <w:pPr>
      <w:keepNext w:val="true"/>
      <w:widowControl/>
      <w:overflowPunct w:val="false"/>
      <w:jc w:val="both"/>
      <w:outlineLvl w:val="2"/>
    </w:pPr>
    <w:rPr>
      <w:rFonts w:ascii="Cambria" w:hAnsi="Cambria"/>
      <w:b/>
      <w:bCs/>
      <w:sz w:val="26"/>
      <w:szCs w:val="26"/>
    </w:rPr>
  </w:style>
  <w:style w:type="character" w:styleId="DefaultParagraphFont" w:default="1">
    <w:name w:val="Default Paragraph Font"/>
    <w:uiPriority w:val="1"/>
    <w:semiHidden/>
    <w:unhideWhenUsed/>
    <w:qFormat/>
    <w:rPr/>
  </w:style>
  <w:style w:type="character" w:styleId="Cmsor3Char" w:customStyle="1">
    <w:name w:val="Címsor 3 Char"/>
    <w:uiPriority w:val="99"/>
    <w:semiHidden/>
    <w:qFormat/>
    <w:locked/>
    <w:rsid w:val="00755cb9"/>
    <w:rPr>
      <w:rFonts w:ascii="Cambria" w:hAnsi="Cambria" w:cs="Cambria"/>
      <w:b/>
      <w:bCs/>
      <w:kern w:val="2"/>
      <w:sz w:val="26"/>
      <w:szCs w:val="26"/>
    </w:rPr>
  </w:style>
  <w:style w:type="character" w:styleId="lfejChar" w:customStyle="1">
    <w:name w:val="Élőfej Char"/>
    <w:uiPriority w:val="99"/>
    <w:semiHidden/>
    <w:qFormat/>
    <w:locked/>
    <w:rsid w:val="00755cb9"/>
    <w:rPr>
      <w:rFonts w:ascii="Times New Roman" w:hAnsi="Times New Roman" w:cs="Times New Roman"/>
      <w:kern w:val="2"/>
      <w:sz w:val="20"/>
      <w:szCs w:val="20"/>
    </w:rPr>
  </w:style>
  <w:style w:type="character" w:styleId="llbChar" w:customStyle="1">
    <w:name w:val="Élőláb Char"/>
    <w:uiPriority w:val="99"/>
    <w:semiHidden/>
    <w:qFormat/>
    <w:locked/>
    <w:rsid w:val="00755cb9"/>
    <w:rPr>
      <w:rFonts w:ascii="Times New Roman" w:hAnsi="Times New Roman" w:cs="Times New Roman"/>
      <w:kern w:val="2"/>
      <w:sz w:val="20"/>
      <w:szCs w:val="20"/>
    </w:rPr>
  </w:style>
  <w:style w:type="character" w:styleId="BuborkszvegChar" w:customStyle="1">
    <w:name w:val="Buborékszöveg Char"/>
    <w:link w:val="BalloonText"/>
    <w:uiPriority w:val="99"/>
    <w:semiHidden/>
    <w:qFormat/>
    <w:locked/>
    <w:rsid w:val="00de43a5"/>
    <w:rPr>
      <w:rFonts w:ascii="Calibri" w:hAnsi="Calibri" w:asciiTheme="minorHAnsi" w:hAnsiTheme="minorHAnsi"/>
      <w:kern w:val="2"/>
      <w:sz w:val="16"/>
      <w:szCs w:val="2"/>
    </w:rPr>
  </w:style>
  <w:style w:type="character" w:styleId="SzvegtrzsChar" w:customStyle="1">
    <w:name w:val="Szövegtörzs Char"/>
    <w:uiPriority w:val="99"/>
    <w:semiHidden/>
    <w:qFormat/>
    <w:locked/>
    <w:rsid w:val="00755cb9"/>
    <w:rPr>
      <w:rFonts w:ascii="Times New Roman" w:hAnsi="Times New Roman" w:cs="Times New Roman"/>
      <w:kern w:val="2"/>
      <w:sz w:val="20"/>
      <w:szCs w:val="20"/>
    </w:rPr>
  </w:style>
  <w:style w:type="character" w:styleId="Hyperlink">
    <w:name w:val="Hyperlink"/>
    <w:uiPriority w:val="99"/>
    <w:rsid w:val="00535d96"/>
    <w:rPr>
      <w:color w:val="0000FF"/>
      <w:u w:val="single"/>
    </w:rPr>
  </w:style>
  <w:style w:type="character" w:styleId="CommentReference">
    <w:name w:val="annotation reference"/>
    <w:uiPriority w:val="99"/>
    <w:semiHidden/>
    <w:unhideWhenUsed/>
    <w:qFormat/>
    <w:rsid w:val="002a169e"/>
    <w:rPr>
      <w:sz w:val="16"/>
      <w:szCs w:val="16"/>
    </w:rPr>
  </w:style>
  <w:style w:type="character" w:styleId="JegyzetszvegChar" w:customStyle="1">
    <w:name w:val="Jegyzetszöveg Char"/>
    <w:uiPriority w:val="99"/>
    <w:semiHidden/>
    <w:qFormat/>
    <w:rsid w:val="002a169e"/>
    <w:rPr>
      <w:rFonts w:ascii="Times New Roman" w:hAnsi="Times New Roman"/>
      <w:kern w:val="2"/>
      <w:sz w:val="20"/>
      <w:szCs w:val="20"/>
    </w:rPr>
  </w:style>
  <w:style w:type="character" w:styleId="MegjegyzstrgyaChar" w:customStyle="1">
    <w:name w:val="Megjegyzés tárgya Char"/>
    <w:link w:val="annotationsubject"/>
    <w:uiPriority w:val="99"/>
    <w:semiHidden/>
    <w:qFormat/>
    <w:rsid w:val="002a169e"/>
    <w:rPr>
      <w:rFonts w:ascii="Times New Roman" w:hAnsi="Times New Roman"/>
      <w:b/>
      <w:bCs/>
      <w:kern w:val="2"/>
      <w:sz w:val="20"/>
      <w:szCs w:val="20"/>
    </w:rPr>
  </w:style>
  <w:style w:type="character" w:styleId="Cmsor1Char" w:customStyle="1">
    <w:name w:val="Címsor 1 Char"/>
    <w:qFormat/>
    <w:rsid w:val="00f0724e"/>
    <w:rPr>
      <w:rFonts w:ascii="Cambria" w:hAnsi="Cambria" w:eastAsia="Times New Roman" w:cs="Times New Roman"/>
      <w:b/>
      <w:bCs/>
      <w:color w:val="365F91"/>
      <w:kern w:val="2"/>
      <w:sz w:val="28"/>
      <w:szCs w:val="28"/>
    </w:rPr>
  </w:style>
  <w:style w:type="character" w:styleId="LbjegyzetszvegChar" w:customStyle="1">
    <w:name w:val="Lábjegyzetszöveg Char"/>
    <w:basedOn w:val="DefaultParagraphFont"/>
    <w:uiPriority w:val="99"/>
    <w:semiHidden/>
    <w:qFormat/>
    <w:rsid w:val="00794d74"/>
    <w:rPr>
      <w:rFonts w:ascii="Times New Roman" w:hAnsi="Times New Roman" w:eastAsia="Calibri" w:cs="Calibri" w:cstheme="minorHAnsi" w:eastAsiaTheme="minorHAnsi"/>
      <w:lang w:eastAsia="en-US"/>
    </w:rPr>
  </w:style>
  <w:style w:type="character" w:styleId="Lbjegyzet-karakterek">
    <w:name w:val="Lábjegyzet-karakterek"/>
    <w:basedOn w:val="DefaultParagraphFont"/>
    <w:uiPriority w:val="99"/>
    <w:semiHidden/>
    <w:unhideWhenUsed/>
    <w:qFormat/>
    <w:rsid w:val="00794d74"/>
    <w:rPr>
      <w:vertAlign w:val="superscript"/>
    </w:rPr>
  </w:style>
  <w:style w:type="character" w:styleId="FootnoteReference">
    <w:name w:val="footnote reference"/>
    <w:rPr>
      <w:vertAlign w:val="superscript"/>
    </w:rPr>
  </w:style>
  <w:style w:type="paragraph" w:styleId="Cmsor">
    <w:name w:val="Címsor"/>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SzvegtrzsChar"/>
    <w:uiPriority w:val="99"/>
    <w:rsid w:val="0049775e"/>
    <w:pPr>
      <w:widowControl/>
      <w:overflowPunct w:val="false"/>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Trgymutat">
    <w:name w:val="Tárgymutató"/>
    <w:basedOn w:val="Normal"/>
    <w:qFormat/>
    <w:pPr>
      <w:suppressLineNumbers/>
    </w:pPr>
    <w:rPr>
      <w:rFonts w:cs="Lucida Sans"/>
    </w:rPr>
  </w:style>
  <w:style w:type="paragraph" w:styleId="lfejsllb">
    <w:name w:val="Élőfej és élőláb"/>
    <w:basedOn w:val="Normal"/>
    <w:qFormat/>
    <w:pPr/>
    <w:rPr/>
  </w:style>
  <w:style w:type="paragraph" w:styleId="Header">
    <w:name w:val="header"/>
    <w:basedOn w:val="Normal"/>
    <w:link w:val="lfejChar"/>
    <w:uiPriority w:val="99"/>
    <w:rsid w:val="00075557"/>
    <w:pPr>
      <w:tabs>
        <w:tab w:val="clear" w:pos="709"/>
        <w:tab w:val="center" w:pos="4536" w:leader="none"/>
        <w:tab w:val="right" w:pos="9072" w:leader="none"/>
      </w:tabs>
    </w:pPr>
    <w:rPr/>
  </w:style>
  <w:style w:type="paragraph" w:styleId="Footer">
    <w:name w:val="footer"/>
    <w:basedOn w:val="Normal"/>
    <w:link w:val="llbChar"/>
    <w:uiPriority w:val="99"/>
    <w:rsid w:val="00075557"/>
    <w:pPr>
      <w:tabs>
        <w:tab w:val="clear" w:pos="709"/>
        <w:tab w:val="center" w:pos="4536" w:leader="none"/>
        <w:tab w:val="right" w:pos="9072" w:leader="none"/>
      </w:tabs>
    </w:pPr>
    <w:rPr/>
  </w:style>
  <w:style w:type="paragraph" w:styleId="BalloonText">
    <w:name w:val="Balloon Text"/>
    <w:basedOn w:val="Normal"/>
    <w:link w:val="BuborkszvegChar"/>
    <w:uiPriority w:val="99"/>
    <w:semiHidden/>
    <w:qFormat/>
    <w:rsid w:val="00de43a5"/>
    <w:pPr/>
    <w:rPr>
      <w:rFonts w:ascii="Calibri" w:hAnsi="Calibri" w:asciiTheme="minorHAnsi" w:hAnsiTheme="minorHAnsi"/>
      <w:sz w:val="16"/>
      <w:szCs w:val="2"/>
    </w:rPr>
  </w:style>
  <w:style w:type="paragraph" w:styleId="Revision">
    <w:name w:val="Revision"/>
    <w:uiPriority w:val="99"/>
    <w:semiHidden/>
    <w:qFormat/>
    <w:rsid w:val="007f6b9a"/>
    <w:pPr>
      <w:widowControl/>
      <w:bidi w:val="0"/>
      <w:spacing w:before="0" w:after="0"/>
      <w:jc w:val="start"/>
    </w:pPr>
    <w:rPr>
      <w:rFonts w:ascii="Times New Roman" w:hAnsi="Times New Roman" w:eastAsia="Times New Roman" w:cs="Times New Roman"/>
      <w:color w:val="auto"/>
      <w:kern w:val="2"/>
      <w:sz w:val="20"/>
      <w:szCs w:val="20"/>
      <w:lang w:val="hu-HU" w:eastAsia="hu-HU" w:bidi="ar-SA"/>
    </w:rPr>
  </w:style>
  <w:style w:type="paragraph" w:styleId="ListParagraph">
    <w:name w:val="List Paragraph"/>
    <w:basedOn w:val="Normal"/>
    <w:uiPriority w:val="34"/>
    <w:qFormat/>
    <w:rsid w:val="00121366"/>
    <w:pPr>
      <w:ind w:start="720"/>
    </w:pPr>
    <w:rPr/>
  </w:style>
  <w:style w:type="paragraph" w:styleId="CommentText">
    <w:name w:val="annotation text"/>
    <w:basedOn w:val="Normal"/>
    <w:link w:val="JegyzetszvegChar"/>
    <w:uiPriority w:val="99"/>
    <w:semiHidden/>
    <w:unhideWhenUsed/>
    <w:rsid w:val="002a169e"/>
    <w:pPr/>
    <w:rPr/>
  </w:style>
  <w:style w:type="paragraph" w:styleId="annotationsubject">
    <w:name w:val="annotation subject"/>
    <w:basedOn w:val="CommentText"/>
    <w:next w:val="CommentText"/>
    <w:link w:val="MegjegyzstrgyaChar"/>
    <w:uiPriority w:val="99"/>
    <w:semiHidden/>
    <w:unhideWhenUsed/>
    <w:qFormat/>
    <w:rsid w:val="002a169e"/>
    <w:pPr/>
    <w:rPr>
      <w:b/>
      <w:bCs/>
    </w:rPr>
  </w:style>
  <w:style w:type="paragraph" w:styleId="FootnoteText">
    <w:name w:val="footnote text"/>
    <w:basedOn w:val="Normal"/>
    <w:link w:val="LbjegyzetszvegChar"/>
    <w:uiPriority w:val="99"/>
    <w:semiHidden/>
    <w:unhideWhenUsed/>
    <w:rsid w:val="00794d74"/>
    <w:pPr>
      <w:widowControl/>
      <w:overflowPunct w:val="false"/>
    </w:pPr>
    <w:rPr>
      <w:rFonts w:eastAsia="Calibri" w:cs="Calibri" w:cstheme="minorHAnsi" w:eastAsiaTheme="minorHAnsi"/>
      <w:kern w:val="0"/>
      <w:lang w:eastAsia="en-US"/>
    </w:rPr>
  </w:style>
  <w:style w:type="numbering" w:styleId="Nincslista" w:default="1">
    <w:name w:val="Nincs lista"/>
    <w:uiPriority w:val="99"/>
    <w:semiHidden/>
    <w:unhideWhenUsed/>
    <w:qFormat/>
  </w:style>
  <w:style w:type="numbering" w:styleId="Stlus1" w:customStyle="1">
    <w:name w:val="Stílus1"/>
    <w:uiPriority w:val="99"/>
    <w:qFormat/>
    <w:rsid w:val="009b5986"/>
  </w:style>
  <w:style w:type="numbering" w:styleId="Stlus2" w:customStyle="1">
    <w:name w:val="Stílus2"/>
    <w:uiPriority w:val="99"/>
    <w:qFormat/>
    <w:rsid w:val="009b5986"/>
  </w:style>
  <w:style w:type="table" w:default="1" w:styleId="Normltblzat">
    <w:name w:val="Normal Table"/>
    <w:uiPriority w:val="99"/>
    <w:semiHidden/>
    <w:unhideWhenUsed/>
    <w:tblPr>
      <w:tblCellMar>
        <w:top w:w="0" w:type="dxa"/>
        <w:left w:w="108" w:type="dxa"/>
        <w:bottom w:w="0" w:type="dxa"/>
        <w:right w:w="108" w:type="dxa"/>
      </w:tblCellMar>
    </w:tblPr>
  </w:style>
  <w:style w:type="table" w:styleId="Rcsostblzat">
    <w:name w:val="Table Grid"/>
    <w:basedOn w:val="Normltblzat"/>
    <w:unhideWhenUsed/>
    <w:rsid w:val="00087f4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téma">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C297A-906D-4752-B59E-668F39F09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Application>LibreOffice/26.2.6.3$Windows_X86_64 LibreOffice_project/8221e31b3ac356a1623c672912a3d2b492f7e3d1</Application>
  <AppVersion>15.0000</AppVersion>
  <Pages>3</Pages>
  <Words>972</Words>
  <Characters>6786</Characters>
  <CharactersWithSpaces>7682</CharactersWithSpaces>
  <Paragraphs>80</Paragraphs>
  <Company>KD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2024-09-05T08:13:00Z</dcterms:created>
  <dc:creator>Windows XP Pro SP2a</dc:creator>
  <dc:description/>
  <dc:language>hu-HU</dc:language>
  <cp:lastModifiedBy/>
  <cp:lastPrinted>2017-01-10T07:20:00Z</cp:lastPrinted>
  <dcterms:modified xsi:type="dcterms:W3CDTF">2026-10-02T13:27:19Z</dcterms:modified>
  <cp:revision>8</cp:revision>
  <dc:subject/>
  <dc:title>INGATLAN BÉRLETI</dc:title>
</cp:coreProperties>
</file>

<file path=docProps/custom.xml><?xml version="1.0" encoding="utf-8"?>
<Properties xmlns="http://schemas.openxmlformats.org/officeDocument/2006/custom-properties" xmlns:vt="http://schemas.openxmlformats.org/officeDocument/2006/docPropsVTypes"/>
</file>